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83146" w14:textId="40D7FE23" w:rsidR="00FC5D53" w:rsidRDefault="00FC5D53" w:rsidP="00815EFD">
      <w:pPr>
        <w:spacing w:before="0" w:beforeAutospacing="0" w:after="0" w:afterAutospacing="0" w:line="240" w:lineRule="auto"/>
        <w:ind w:left="142" w:right="57"/>
        <w:contextualSpacing/>
        <w:jc w:val="center"/>
        <w:rPr>
          <w:color w:val="000000"/>
          <w:sz w:val="28"/>
          <w:szCs w:val="28"/>
        </w:rPr>
      </w:pPr>
      <w:r w:rsidRPr="004075FA">
        <w:rPr>
          <w:color w:val="000000"/>
          <w:sz w:val="28"/>
          <w:szCs w:val="28"/>
        </w:rPr>
        <w:t xml:space="preserve">Public–Private </w:t>
      </w:r>
      <w:proofErr w:type="spellStart"/>
      <w:r w:rsidRPr="004075FA">
        <w:rPr>
          <w:color w:val="000000"/>
          <w:sz w:val="28"/>
          <w:szCs w:val="28"/>
        </w:rPr>
        <w:t>Collaboration</w:t>
      </w:r>
      <w:proofErr w:type="spellEnd"/>
      <w:r w:rsidRPr="004075FA">
        <w:rPr>
          <w:color w:val="000000"/>
          <w:sz w:val="28"/>
          <w:szCs w:val="28"/>
        </w:rPr>
        <w:t xml:space="preserve"> in </w:t>
      </w:r>
      <w:proofErr w:type="spellStart"/>
      <w:r w:rsidRPr="004075FA">
        <w:rPr>
          <w:color w:val="000000"/>
          <w:sz w:val="28"/>
          <w:szCs w:val="28"/>
        </w:rPr>
        <w:t>the</w:t>
      </w:r>
      <w:proofErr w:type="spellEnd"/>
      <w:r w:rsidRPr="004075FA">
        <w:rPr>
          <w:color w:val="000000"/>
          <w:sz w:val="28"/>
          <w:szCs w:val="28"/>
        </w:rPr>
        <w:t xml:space="preserve"> European Framework</w:t>
      </w:r>
    </w:p>
    <w:p w14:paraId="393D5231" w14:textId="77777777" w:rsidR="00815EFD" w:rsidRPr="00815EFD" w:rsidRDefault="00815EFD" w:rsidP="00815EFD">
      <w:pPr>
        <w:spacing w:before="0" w:beforeAutospacing="0" w:after="0" w:afterAutospacing="0" w:line="240" w:lineRule="auto"/>
        <w:ind w:left="142" w:right="57"/>
        <w:contextualSpacing/>
        <w:jc w:val="center"/>
        <w:rPr>
          <w:color w:val="000000"/>
          <w:sz w:val="28"/>
          <w:szCs w:val="28"/>
        </w:rPr>
      </w:pPr>
    </w:p>
    <w:p w14:paraId="236E358E" w14:textId="22FA3185" w:rsidR="007613E5" w:rsidRPr="00275D8A" w:rsidRDefault="63858AFA" w:rsidP="00275D8A">
      <w:pPr>
        <w:spacing w:before="0" w:beforeAutospacing="0" w:after="0" w:afterAutospacing="0" w:line="240" w:lineRule="auto"/>
        <w:ind w:left="142" w:right="57"/>
        <w:contextualSpacing/>
        <w:jc w:val="center"/>
        <w:rPr>
          <w:rStyle w:val="15"/>
          <w:rFonts w:ascii="Times New Roman" w:hAnsi="Times New Roman" w:cs="Times New Roman"/>
          <w:b/>
          <w:bCs/>
        </w:rPr>
      </w:pPr>
      <w:r w:rsidRPr="00275D8A">
        <w:rPr>
          <w:rStyle w:val="15"/>
          <w:rFonts w:ascii="Times New Roman" w:hAnsi="Times New Roman" w:cs="Times New Roman"/>
          <w:b/>
          <w:bCs/>
        </w:rPr>
        <w:t xml:space="preserve">Elena </w:t>
      </w:r>
      <w:r w:rsidR="4D602DDF" w:rsidRPr="00275D8A">
        <w:rPr>
          <w:rStyle w:val="15"/>
          <w:rFonts w:ascii="Times New Roman" w:hAnsi="Times New Roman" w:cs="Times New Roman"/>
          <w:b/>
          <w:bCs/>
        </w:rPr>
        <w:t>BIZIM</w:t>
      </w:r>
      <w:r w:rsidRPr="00275D8A">
        <w:rPr>
          <w:rStyle w:val="15"/>
          <w:rFonts w:ascii="Times New Roman" w:hAnsi="Times New Roman" w:cs="Times New Roman"/>
          <w:b/>
          <w:bCs/>
        </w:rPr>
        <w:t xml:space="preserve"> </w:t>
      </w:r>
      <w:r w:rsidR="00FC5D53" w:rsidRPr="00275D8A">
        <w:rPr>
          <w:rStyle w:val="15"/>
          <w:rFonts w:ascii="Times New Roman" w:hAnsi="Times New Roman" w:cs="Times New Roman"/>
          <w:b/>
          <w:bCs/>
        </w:rPr>
        <w:t>(SURDU)</w:t>
      </w:r>
    </w:p>
    <w:p w14:paraId="4E870484" w14:textId="48507FAA" w:rsidR="007613E5" w:rsidRPr="00275D8A" w:rsidRDefault="441AE9A2" w:rsidP="00275D8A">
      <w:pPr>
        <w:spacing w:before="0" w:beforeAutospacing="0" w:after="0" w:afterAutospacing="0" w:line="240" w:lineRule="auto"/>
        <w:ind w:left="142" w:right="57"/>
        <w:contextualSpacing/>
        <w:jc w:val="center"/>
        <w:rPr>
          <w:rStyle w:val="15"/>
          <w:rFonts w:ascii="Times New Roman" w:hAnsi="Times New Roman" w:cs="Times New Roman"/>
          <w:lang w:val="en-US"/>
        </w:rPr>
      </w:pPr>
      <w:proofErr w:type="spellStart"/>
      <w:r w:rsidRPr="00275D8A">
        <w:rPr>
          <w:lang w:val="en-US"/>
        </w:rPr>
        <w:t>Alexandru</w:t>
      </w:r>
      <w:proofErr w:type="spellEnd"/>
      <w:r w:rsidRPr="00275D8A">
        <w:rPr>
          <w:lang w:val="en-US"/>
        </w:rPr>
        <w:t xml:space="preserve"> </w:t>
      </w:r>
      <w:proofErr w:type="spellStart"/>
      <w:r w:rsidRPr="00275D8A">
        <w:rPr>
          <w:lang w:val="en-US"/>
        </w:rPr>
        <w:t>Ioan</w:t>
      </w:r>
      <w:proofErr w:type="spellEnd"/>
      <w:r w:rsidRPr="00275D8A">
        <w:rPr>
          <w:lang w:val="en-US"/>
        </w:rPr>
        <w:t xml:space="preserve"> </w:t>
      </w:r>
      <w:proofErr w:type="spellStart"/>
      <w:r w:rsidRPr="00275D8A">
        <w:rPr>
          <w:lang w:val="en-US"/>
        </w:rPr>
        <w:t>Cuza</w:t>
      </w:r>
      <w:proofErr w:type="spellEnd"/>
      <w:r w:rsidRPr="00275D8A">
        <w:rPr>
          <w:lang w:val="en-US"/>
        </w:rPr>
        <w:t xml:space="preserve"> University of </w:t>
      </w:r>
      <w:proofErr w:type="spellStart"/>
      <w:r w:rsidRPr="00275D8A">
        <w:rPr>
          <w:lang w:val="en-US"/>
        </w:rPr>
        <w:t>Iași</w:t>
      </w:r>
      <w:proofErr w:type="spellEnd"/>
      <w:r w:rsidRPr="00275D8A">
        <w:rPr>
          <w:lang w:val="en-US"/>
        </w:rPr>
        <w:t xml:space="preserve">, </w:t>
      </w:r>
      <w:r w:rsidR="0C4AD318" w:rsidRPr="00275D8A">
        <w:rPr>
          <w:rStyle w:val="15"/>
          <w:rFonts w:ascii="Times New Roman" w:hAnsi="Times New Roman" w:cs="Times New Roman"/>
          <w:lang w:val="en-US"/>
        </w:rPr>
        <w:t>Faculty of Economics and Business Administration,</w:t>
      </w:r>
    </w:p>
    <w:p w14:paraId="6D376718" w14:textId="78E8FC5D" w:rsidR="007260E5" w:rsidRPr="00275D8A" w:rsidRDefault="1F783038" w:rsidP="00275D8A">
      <w:pPr>
        <w:spacing w:before="0" w:beforeAutospacing="0" w:after="0" w:afterAutospacing="0" w:line="240" w:lineRule="auto"/>
        <w:ind w:left="142" w:right="57"/>
        <w:contextualSpacing/>
        <w:jc w:val="center"/>
        <w:rPr>
          <w:rStyle w:val="15"/>
          <w:rFonts w:ascii="Times New Roman" w:hAnsi="Times New Roman" w:cs="Times New Roman"/>
        </w:rPr>
      </w:pPr>
      <w:r w:rsidRPr="00275D8A">
        <w:rPr>
          <w:rStyle w:val="15"/>
          <w:rFonts w:ascii="Times New Roman" w:hAnsi="Times New Roman" w:cs="Times New Roman"/>
        </w:rPr>
        <w:t>Iași</w:t>
      </w:r>
      <w:r w:rsidR="5E5B8645" w:rsidRPr="00275D8A">
        <w:rPr>
          <w:rStyle w:val="15"/>
          <w:rFonts w:ascii="Times New Roman" w:hAnsi="Times New Roman" w:cs="Times New Roman"/>
        </w:rPr>
        <w:t>, Romania</w:t>
      </w:r>
    </w:p>
    <w:p w14:paraId="1477010E" w14:textId="4127A662" w:rsidR="007613E5" w:rsidRPr="00275D8A" w:rsidRDefault="00000000" w:rsidP="00275D8A">
      <w:pPr>
        <w:spacing w:before="0" w:beforeAutospacing="0" w:after="0" w:afterAutospacing="0" w:line="240" w:lineRule="auto"/>
        <w:ind w:left="142" w:right="57"/>
        <w:contextualSpacing/>
        <w:jc w:val="center"/>
        <w:rPr>
          <w:rStyle w:val="Hyperlink"/>
          <w:i/>
          <w:iCs/>
          <w:color w:val="auto"/>
        </w:rPr>
      </w:pPr>
      <w:hyperlink r:id="rId8">
        <w:r w:rsidR="63858AFA" w:rsidRPr="00275D8A">
          <w:rPr>
            <w:rStyle w:val="Hyperlink"/>
            <w:i/>
            <w:iCs/>
            <w:color w:val="auto"/>
          </w:rPr>
          <w:t>elena.bizim@student.uaic.ro</w:t>
        </w:r>
      </w:hyperlink>
    </w:p>
    <w:p w14:paraId="792FCBA2" w14:textId="77777777" w:rsidR="00D127CD" w:rsidRPr="00275D8A" w:rsidRDefault="00D127CD" w:rsidP="00275D8A">
      <w:pPr>
        <w:spacing w:before="0" w:beforeAutospacing="0" w:after="0" w:afterAutospacing="0" w:line="240" w:lineRule="auto"/>
        <w:ind w:left="142" w:right="57"/>
        <w:contextualSpacing/>
        <w:jc w:val="center"/>
        <w:rPr>
          <w:rStyle w:val="15"/>
          <w:rFonts w:ascii="Times New Roman" w:hAnsi="Times New Roman" w:cs="Times New Roman"/>
          <w:color w:val="4472C4" w:themeColor="accent1"/>
        </w:rPr>
      </w:pPr>
    </w:p>
    <w:p w14:paraId="51A9655A" w14:textId="7122E492" w:rsidR="11F54F42" w:rsidRDefault="4481532D" w:rsidP="00275D8A">
      <w:pPr>
        <w:spacing w:before="0" w:beforeAutospacing="0" w:after="0" w:afterAutospacing="0"/>
        <w:ind w:left="142" w:right="57"/>
        <w:contextualSpacing/>
        <w:jc w:val="center"/>
        <w:rPr>
          <w:b/>
          <w:bCs/>
          <w:i/>
          <w:iCs/>
          <w:sz w:val="22"/>
          <w:szCs w:val="22"/>
          <w:lang w:val="en-GB"/>
        </w:rPr>
      </w:pPr>
      <w:r w:rsidRPr="00CE528D">
        <w:rPr>
          <w:b/>
          <w:bCs/>
          <w:i/>
          <w:iCs/>
          <w:lang w:val="en-GB"/>
        </w:rPr>
        <w:t>Abstract</w:t>
      </w:r>
    </w:p>
    <w:p w14:paraId="62A7AEB9" w14:textId="77777777" w:rsidR="00603CBC" w:rsidRPr="004075FA" w:rsidRDefault="00603CBC" w:rsidP="00275D8A">
      <w:pPr>
        <w:spacing w:before="0" w:beforeAutospacing="0" w:after="0" w:afterAutospacing="0"/>
        <w:ind w:left="142" w:right="57"/>
        <w:contextualSpacing/>
        <w:jc w:val="center"/>
        <w:rPr>
          <w:b/>
          <w:bCs/>
          <w:i/>
          <w:iCs/>
          <w:sz w:val="22"/>
          <w:szCs w:val="22"/>
          <w:lang w:val="en-GB"/>
        </w:rPr>
      </w:pPr>
    </w:p>
    <w:p w14:paraId="4C10E8FB" w14:textId="02DF40B4" w:rsidR="00FC5D53" w:rsidRPr="00DB7F82" w:rsidRDefault="00FC5D53" w:rsidP="004075FA">
      <w:pPr>
        <w:pStyle w:val="NormalWeb"/>
        <w:spacing w:before="0" w:beforeAutospacing="0" w:after="0" w:afterAutospacing="0"/>
        <w:ind w:left="142" w:right="57"/>
        <w:jc w:val="both"/>
        <w:rPr>
          <w:i/>
          <w:iCs/>
          <w:color w:val="000000"/>
          <w:sz w:val="22"/>
          <w:szCs w:val="22"/>
        </w:rPr>
      </w:pPr>
      <w:r w:rsidRPr="004075FA">
        <w:rPr>
          <w:i/>
          <w:iCs/>
          <w:color w:val="000000"/>
          <w:sz w:val="22"/>
          <w:szCs w:val="22"/>
        </w:rPr>
        <w:t>Public–private collaboration has become an important governance mechanism within the European framework, particularly in the context of fiscal constraints and growing infrastructure and public service needs. This article employs public–private collaboration as an umbrella concept, encompassing public–private partnerships, concessions, and other hybrid governance arrangements involving cooperation between public authorities and private entities.</w:t>
      </w:r>
      <w:r w:rsidR="00DB7F82" w:rsidRPr="00DB7F82">
        <w:rPr>
          <w:rFonts w:ascii="-webkit-standard" w:hAnsi="-webkit-standard"/>
          <w:color w:val="000000"/>
          <w:sz w:val="27"/>
          <w:szCs w:val="27"/>
        </w:rPr>
        <w:t xml:space="preserve"> </w:t>
      </w:r>
      <w:r w:rsidR="00DB7F82" w:rsidRPr="00DB7F82">
        <w:rPr>
          <w:i/>
          <w:iCs/>
          <w:color w:val="000000"/>
          <w:sz w:val="22"/>
          <w:szCs w:val="22"/>
        </w:rPr>
        <w:t>T</w:t>
      </w:r>
      <w:proofErr w:type="spellStart"/>
      <w:r w:rsidR="00DB7F82">
        <w:rPr>
          <w:i/>
          <w:iCs/>
          <w:color w:val="000000"/>
          <w:sz w:val="22"/>
          <w:szCs w:val="22"/>
          <w:lang w:val="ro-RO"/>
        </w:rPr>
        <w:t>he</w:t>
      </w:r>
      <w:proofErr w:type="spellEnd"/>
      <w:r w:rsidR="00DB7F82">
        <w:rPr>
          <w:i/>
          <w:iCs/>
          <w:color w:val="000000"/>
          <w:sz w:val="22"/>
          <w:szCs w:val="22"/>
          <w:lang w:val="ro-RO"/>
        </w:rPr>
        <w:t xml:space="preserve"> </w:t>
      </w:r>
      <w:r w:rsidR="00DB7F82" w:rsidRPr="00DB7F82">
        <w:rPr>
          <w:i/>
          <w:iCs/>
          <w:color w:val="000000"/>
          <w:sz w:val="22"/>
          <w:szCs w:val="22"/>
        </w:rPr>
        <w:t>article addresses the need for conceptual clarity between concessions and PPPs within European governance frameworks.</w:t>
      </w:r>
    </w:p>
    <w:p w14:paraId="3FC6D128" w14:textId="77777777" w:rsidR="00FC5D53" w:rsidRPr="004075FA" w:rsidRDefault="00FC5D53" w:rsidP="004075FA">
      <w:pPr>
        <w:pStyle w:val="NormalWeb"/>
        <w:spacing w:before="0" w:beforeAutospacing="0" w:after="0" w:afterAutospacing="0"/>
        <w:ind w:left="142" w:right="57"/>
        <w:jc w:val="both"/>
        <w:rPr>
          <w:i/>
          <w:iCs/>
          <w:color w:val="000000"/>
          <w:sz w:val="22"/>
          <w:szCs w:val="22"/>
        </w:rPr>
      </w:pPr>
      <w:r w:rsidRPr="004075FA">
        <w:rPr>
          <w:i/>
          <w:iCs/>
          <w:color w:val="000000"/>
          <w:sz w:val="22"/>
          <w:szCs w:val="22"/>
        </w:rPr>
        <w:t>The study is based on a qualitative literature review of academic publications and institutional reports relevant to the European Union. Through a structured analysis, the paper examines the conceptual and legal foundations of public–private collaboration, with a focus on concessions and public–private partnerships, as well as their institutional and governance implications.</w:t>
      </w:r>
    </w:p>
    <w:p w14:paraId="1E2790D0" w14:textId="12C45F4B" w:rsidR="00FC5D53" w:rsidRPr="004075FA" w:rsidRDefault="00FC5D53" w:rsidP="004075FA">
      <w:pPr>
        <w:pStyle w:val="NormalWeb"/>
        <w:spacing w:before="0" w:beforeAutospacing="0" w:after="0" w:afterAutospacing="0"/>
        <w:ind w:left="142" w:right="57"/>
        <w:jc w:val="both"/>
        <w:rPr>
          <w:i/>
          <w:iCs/>
          <w:color w:val="000000"/>
          <w:sz w:val="22"/>
          <w:szCs w:val="22"/>
        </w:rPr>
      </w:pPr>
      <w:r w:rsidRPr="004075FA">
        <w:rPr>
          <w:i/>
          <w:iCs/>
          <w:color w:val="000000"/>
          <w:sz w:val="22"/>
          <w:szCs w:val="22"/>
        </w:rPr>
        <w:t>The findings suggest that public–private collaboration can support long-term investment, risk sharing, and efficiency in the provision of public infrastructure and services, provided that appropriate legal frameworks, institutional capacity, and transparency mechanisms are in place. The article contributes to the academic and policy debate on hybrid governance arrangements in the European context.</w:t>
      </w:r>
    </w:p>
    <w:p w14:paraId="4BFFD303" w14:textId="77777777" w:rsidR="00D127CD" w:rsidRPr="004075FA" w:rsidRDefault="00D127CD" w:rsidP="004075FA">
      <w:pPr>
        <w:spacing w:before="0" w:beforeAutospacing="0" w:after="0" w:afterAutospacing="0"/>
        <w:ind w:left="142" w:right="57"/>
        <w:contextualSpacing/>
        <w:jc w:val="both"/>
        <w:rPr>
          <w:sz w:val="22"/>
          <w:szCs w:val="22"/>
        </w:rPr>
      </w:pPr>
    </w:p>
    <w:p w14:paraId="61833107" w14:textId="7436F42B" w:rsidR="00D127CD" w:rsidRPr="004075FA" w:rsidRDefault="63858AFA" w:rsidP="00603CBC">
      <w:pPr>
        <w:spacing w:before="0" w:beforeAutospacing="0" w:after="0" w:afterAutospacing="0"/>
        <w:ind w:left="142" w:right="57"/>
        <w:contextualSpacing/>
        <w:jc w:val="both"/>
        <w:rPr>
          <w:i/>
          <w:iCs/>
          <w:sz w:val="22"/>
          <w:szCs w:val="22"/>
        </w:rPr>
      </w:pPr>
      <w:r w:rsidRPr="004075FA">
        <w:rPr>
          <w:b/>
          <w:bCs/>
          <w:i/>
          <w:iCs/>
          <w:sz w:val="22"/>
          <w:szCs w:val="22"/>
          <w:lang w:val="en-GB"/>
        </w:rPr>
        <w:t>Keywords:</w:t>
      </w:r>
      <w:r w:rsidRPr="004075FA">
        <w:rPr>
          <w:i/>
          <w:iCs/>
          <w:sz w:val="22"/>
          <w:szCs w:val="22"/>
          <w:lang w:val="en-GB"/>
        </w:rPr>
        <w:t xml:space="preserve"> </w:t>
      </w:r>
      <w:r w:rsidR="763365D5" w:rsidRPr="004075FA">
        <w:rPr>
          <w:i/>
          <w:iCs/>
          <w:sz w:val="22"/>
          <w:szCs w:val="22"/>
          <w:lang w:val="en-GB"/>
        </w:rPr>
        <w:t>P</w:t>
      </w:r>
      <w:proofErr w:type="spellStart"/>
      <w:r w:rsidRPr="004075FA">
        <w:rPr>
          <w:i/>
          <w:iCs/>
          <w:sz w:val="22"/>
          <w:szCs w:val="22"/>
        </w:rPr>
        <w:t>ublic</w:t>
      </w:r>
      <w:proofErr w:type="spellEnd"/>
      <w:r w:rsidRPr="004075FA">
        <w:rPr>
          <w:i/>
          <w:iCs/>
          <w:sz w:val="22"/>
          <w:szCs w:val="22"/>
        </w:rPr>
        <w:t>-</w:t>
      </w:r>
      <w:r w:rsidR="3390854B" w:rsidRPr="004075FA">
        <w:rPr>
          <w:i/>
          <w:iCs/>
          <w:sz w:val="22"/>
          <w:szCs w:val="22"/>
        </w:rPr>
        <w:t>P</w:t>
      </w:r>
      <w:r w:rsidRPr="004075FA">
        <w:rPr>
          <w:i/>
          <w:iCs/>
          <w:sz w:val="22"/>
          <w:szCs w:val="22"/>
        </w:rPr>
        <w:t>rivate</w:t>
      </w:r>
      <w:r w:rsidR="00DB7F82">
        <w:rPr>
          <w:i/>
          <w:iCs/>
          <w:sz w:val="22"/>
          <w:szCs w:val="22"/>
        </w:rPr>
        <w:t xml:space="preserve"> </w:t>
      </w:r>
      <w:proofErr w:type="spellStart"/>
      <w:r w:rsidR="00FC5D53" w:rsidRPr="004075FA">
        <w:rPr>
          <w:i/>
          <w:iCs/>
          <w:sz w:val="22"/>
          <w:szCs w:val="22"/>
        </w:rPr>
        <w:t>collaboration</w:t>
      </w:r>
      <w:proofErr w:type="spellEnd"/>
      <w:r w:rsidR="507A7698" w:rsidRPr="004075FA">
        <w:rPr>
          <w:i/>
          <w:iCs/>
          <w:sz w:val="22"/>
          <w:szCs w:val="22"/>
        </w:rPr>
        <w:t>;</w:t>
      </w:r>
      <w:r w:rsidRPr="004075FA">
        <w:rPr>
          <w:i/>
          <w:iCs/>
          <w:sz w:val="22"/>
          <w:szCs w:val="22"/>
        </w:rPr>
        <w:t xml:space="preserve"> </w:t>
      </w:r>
      <w:r w:rsidR="00FC5D53" w:rsidRPr="004075FA">
        <w:rPr>
          <w:i/>
          <w:iCs/>
          <w:sz w:val="22"/>
          <w:szCs w:val="22"/>
        </w:rPr>
        <w:t xml:space="preserve">economic </w:t>
      </w:r>
      <w:proofErr w:type="spellStart"/>
      <w:r w:rsidR="00FC5D53" w:rsidRPr="004075FA">
        <w:rPr>
          <w:i/>
          <w:iCs/>
          <w:sz w:val="22"/>
          <w:szCs w:val="22"/>
        </w:rPr>
        <w:t>growth</w:t>
      </w:r>
      <w:proofErr w:type="spellEnd"/>
      <w:r w:rsidR="00DB7F82">
        <w:rPr>
          <w:i/>
          <w:iCs/>
          <w:sz w:val="22"/>
          <w:szCs w:val="22"/>
        </w:rPr>
        <w:t>;</w:t>
      </w:r>
      <w:r w:rsidR="00FC5D53" w:rsidRPr="004075FA">
        <w:rPr>
          <w:sz w:val="22"/>
          <w:szCs w:val="22"/>
        </w:rPr>
        <w:t xml:space="preserve"> </w:t>
      </w:r>
      <w:proofErr w:type="spellStart"/>
      <w:r w:rsidR="00FC5D53" w:rsidRPr="004075FA">
        <w:rPr>
          <w:i/>
          <w:iCs/>
          <w:sz w:val="22"/>
          <w:szCs w:val="22"/>
        </w:rPr>
        <w:t>institutional</w:t>
      </w:r>
      <w:proofErr w:type="spellEnd"/>
      <w:r w:rsidR="00FC5D53" w:rsidRPr="004075FA">
        <w:rPr>
          <w:i/>
          <w:iCs/>
          <w:sz w:val="22"/>
          <w:szCs w:val="22"/>
        </w:rPr>
        <w:t xml:space="preserve"> </w:t>
      </w:r>
      <w:proofErr w:type="spellStart"/>
      <w:r w:rsidR="00FC5D53" w:rsidRPr="004075FA">
        <w:rPr>
          <w:i/>
          <w:iCs/>
          <w:sz w:val="22"/>
          <w:szCs w:val="22"/>
        </w:rPr>
        <w:t>governance</w:t>
      </w:r>
      <w:proofErr w:type="spellEnd"/>
      <w:r w:rsidR="00FC5D53" w:rsidRPr="004075FA">
        <w:rPr>
          <w:i/>
          <w:iCs/>
          <w:sz w:val="22"/>
          <w:szCs w:val="22"/>
        </w:rPr>
        <w:t xml:space="preserve">; public </w:t>
      </w:r>
      <w:proofErr w:type="spellStart"/>
      <w:r w:rsidR="00FC5D53" w:rsidRPr="004075FA">
        <w:rPr>
          <w:i/>
          <w:iCs/>
          <w:sz w:val="22"/>
          <w:szCs w:val="22"/>
        </w:rPr>
        <w:t>investment</w:t>
      </w:r>
      <w:proofErr w:type="spellEnd"/>
      <w:r w:rsidR="00FC5D53" w:rsidRPr="004075FA">
        <w:rPr>
          <w:i/>
          <w:iCs/>
          <w:sz w:val="22"/>
          <w:szCs w:val="22"/>
        </w:rPr>
        <w:t xml:space="preserve">; </w:t>
      </w:r>
      <w:proofErr w:type="spellStart"/>
      <w:r w:rsidR="00FC5D53" w:rsidRPr="004075FA">
        <w:rPr>
          <w:i/>
          <w:iCs/>
          <w:sz w:val="22"/>
          <w:szCs w:val="22"/>
        </w:rPr>
        <w:t>concessions</w:t>
      </w:r>
      <w:proofErr w:type="spellEnd"/>
      <w:r w:rsidR="00FC5D53" w:rsidRPr="004075FA">
        <w:rPr>
          <w:i/>
          <w:iCs/>
          <w:sz w:val="22"/>
          <w:szCs w:val="22"/>
        </w:rPr>
        <w:t xml:space="preserve">. </w:t>
      </w:r>
    </w:p>
    <w:p w14:paraId="0901C57A" w14:textId="10BC6A8F" w:rsidR="00B32E08" w:rsidRDefault="3ADA445E" w:rsidP="004075FA">
      <w:pPr>
        <w:spacing w:before="0" w:beforeAutospacing="0" w:after="0" w:afterAutospacing="0"/>
        <w:ind w:left="142" w:right="57"/>
        <w:contextualSpacing/>
        <w:jc w:val="both"/>
        <w:rPr>
          <w:i/>
          <w:iCs/>
          <w:sz w:val="22"/>
          <w:szCs w:val="22"/>
        </w:rPr>
      </w:pPr>
      <w:proofErr w:type="spellStart"/>
      <w:r w:rsidRPr="004075FA">
        <w:rPr>
          <w:b/>
          <w:bCs/>
          <w:i/>
          <w:iCs/>
          <w:sz w:val="22"/>
          <w:szCs w:val="22"/>
        </w:rPr>
        <w:t>Classification</w:t>
      </w:r>
      <w:proofErr w:type="spellEnd"/>
      <w:r w:rsidRPr="004075FA">
        <w:rPr>
          <w:b/>
          <w:bCs/>
          <w:i/>
          <w:iCs/>
          <w:sz w:val="22"/>
          <w:szCs w:val="22"/>
        </w:rPr>
        <w:t xml:space="preserve"> JEL: </w:t>
      </w:r>
      <w:r w:rsidR="00FC5D53" w:rsidRPr="004075FA">
        <w:rPr>
          <w:i/>
          <w:iCs/>
          <w:sz w:val="22"/>
          <w:szCs w:val="22"/>
        </w:rPr>
        <w:t>H11; H54; L32; O11</w:t>
      </w:r>
    </w:p>
    <w:p w14:paraId="27509BC9" w14:textId="5A752B76" w:rsidR="00815EFD" w:rsidRDefault="00815EFD" w:rsidP="004075FA">
      <w:pPr>
        <w:spacing w:before="0" w:beforeAutospacing="0" w:after="0" w:afterAutospacing="0"/>
        <w:ind w:left="142" w:right="57"/>
        <w:contextualSpacing/>
        <w:jc w:val="both"/>
        <w:rPr>
          <w:i/>
          <w:iCs/>
          <w:sz w:val="22"/>
          <w:szCs w:val="22"/>
        </w:rPr>
      </w:pPr>
    </w:p>
    <w:p w14:paraId="5C11259B" w14:textId="18DCA00D" w:rsidR="00815EFD" w:rsidRDefault="00815EFD" w:rsidP="004075FA">
      <w:pPr>
        <w:spacing w:before="0" w:beforeAutospacing="0" w:after="0" w:afterAutospacing="0"/>
        <w:ind w:left="142" w:right="57"/>
        <w:contextualSpacing/>
        <w:jc w:val="both"/>
        <w:rPr>
          <w:i/>
          <w:iCs/>
          <w:sz w:val="22"/>
          <w:szCs w:val="22"/>
        </w:rPr>
      </w:pPr>
    </w:p>
    <w:p w14:paraId="62F4C60C" w14:textId="77777777" w:rsidR="00815EFD" w:rsidRDefault="00815EFD" w:rsidP="004075FA">
      <w:pPr>
        <w:spacing w:before="0" w:beforeAutospacing="0" w:after="0" w:afterAutospacing="0"/>
        <w:ind w:left="142" w:right="57"/>
        <w:contextualSpacing/>
        <w:jc w:val="both"/>
        <w:rPr>
          <w:i/>
          <w:iCs/>
          <w:sz w:val="22"/>
          <w:szCs w:val="22"/>
        </w:rPr>
      </w:pPr>
    </w:p>
    <w:p w14:paraId="0D12038A" w14:textId="77777777" w:rsidR="00E50E50" w:rsidRPr="004075FA" w:rsidRDefault="00E50E50" w:rsidP="00603CBC">
      <w:pPr>
        <w:spacing w:before="0" w:beforeAutospacing="0" w:after="0" w:afterAutospacing="0"/>
        <w:ind w:right="57"/>
        <w:contextualSpacing/>
        <w:jc w:val="both"/>
        <w:rPr>
          <w:i/>
          <w:iCs/>
          <w:sz w:val="22"/>
          <w:szCs w:val="22"/>
        </w:rPr>
      </w:pPr>
    </w:p>
    <w:p w14:paraId="23F80BC2" w14:textId="2DBD2F3D" w:rsidR="00B32E08" w:rsidRDefault="40FF0CF9" w:rsidP="004075FA">
      <w:pPr>
        <w:pStyle w:val="ListParagraph"/>
        <w:numPr>
          <w:ilvl w:val="0"/>
          <w:numId w:val="4"/>
        </w:numPr>
        <w:spacing w:before="0" w:beforeAutospacing="0" w:after="0" w:afterAutospacing="0" w:line="240" w:lineRule="auto"/>
        <w:ind w:left="142" w:right="57" w:firstLine="0"/>
        <w:jc w:val="both"/>
        <w:rPr>
          <w:b/>
          <w:bCs/>
          <w:sz w:val="22"/>
          <w:szCs w:val="22"/>
          <w:lang w:val="en-US"/>
        </w:rPr>
      </w:pPr>
      <w:r w:rsidRPr="004075FA">
        <w:rPr>
          <w:b/>
          <w:bCs/>
          <w:sz w:val="22"/>
          <w:szCs w:val="22"/>
          <w:lang w:val="en-US"/>
        </w:rPr>
        <w:lastRenderedPageBreak/>
        <w:t>I</w:t>
      </w:r>
      <w:r w:rsidR="004075FA" w:rsidRPr="004075FA">
        <w:rPr>
          <w:b/>
          <w:bCs/>
          <w:sz w:val="22"/>
          <w:szCs w:val="22"/>
          <w:lang w:val="en-US"/>
        </w:rPr>
        <w:t>ntroduction</w:t>
      </w:r>
    </w:p>
    <w:p w14:paraId="4DC9F054" w14:textId="77777777" w:rsidR="00CE528D" w:rsidRPr="004075FA" w:rsidRDefault="00CE528D" w:rsidP="00CE528D">
      <w:pPr>
        <w:pStyle w:val="ListParagraph"/>
        <w:spacing w:before="0" w:beforeAutospacing="0" w:after="0" w:afterAutospacing="0" w:line="240" w:lineRule="auto"/>
        <w:ind w:left="142" w:right="57"/>
        <w:jc w:val="both"/>
        <w:rPr>
          <w:b/>
          <w:bCs/>
          <w:sz w:val="22"/>
          <w:szCs w:val="22"/>
          <w:lang w:val="en-US"/>
        </w:rPr>
      </w:pPr>
    </w:p>
    <w:p w14:paraId="2B0D9F9E" w14:textId="5E4C30EB" w:rsidR="00603CBC" w:rsidRDefault="00FC5D53" w:rsidP="00603CBC">
      <w:pPr>
        <w:pStyle w:val="NormalWeb"/>
        <w:spacing w:before="0" w:beforeAutospacing="0" w:after="0" w:afterAutospacing="0"/>
        <w:ind w:left="142" w:right="57"/>
        <w:jc w:val="both"/>
        <w:rPr>
          <w:rFonts w:ascii="-webkit-standard" w:hAnsi="-webkit-standard"/>
          <w:color w:val="000000"/>
          <w:sz w:val="27"/>
          <w:szCs w:val="27"/>
        </w:rPr>
      </w:pPr>
      <w:r w:rsidRPr="004075FA">
        <w:rPr>
          <w:color w:val="000000"/>
          <w:sz w:val="22"/>
          <w:szCs w:val="22"/>
        </w:rPr>
        <w:t>This article uses the term</w:t>
      </w:r>
      <w:r w:rsidRPr="004075FA">
        <w:rPr>
          <w:rStyle w:val="apple-converted-space"/>
          <w:rFonts w:eastAsiaTheme="majorEastAsia"/>
          <w:color w:val="000000"/>
          <w:sz w:val="22"/>
          <w:szCs w:val="22"/>
        </w:rPr>
        <w:t> </w:t>
      </w:r>
      <w:r w:rsidRPr="004075FA">
        <w:rPr>
          <w:rStyle w:val="Emphasis"/>
          <w:color w:val="000000"/>
          <w:sz w:val="22"/>
          <w:szCs w:val="22"/>
        </w:rPr>
        <w:t>public–private collaboration</w:t>
      </w:r>
      <w:r w:rsidRPr="004075FA">
        <w:rPr>
          <w:rStyle w:val="apple-converted-space"/>
          <w:rFonts w:eastAsiaTheme="majorEastAsia"/>
          <w:color w:val="000000"/>
          <w:sz w:val="22"/>
          <w:szCs w:val="22"/>
        </w:rPr>
        <w:t> </w:t>
      </w:r>
      <w:r w:rsidRPr="004075FA">
        <w:rPr>
          <w:color w:val="000000"/>
          <w:sz w:val="22"/>
          <w:szCs w:val="22"/>
        </w:rPr>
        <w:t>as an umbrella concept, encompassing public–private partnerships, concessions, and other hybrid governance arrangements that involve cooperation between public authorities and private entities within the European framework. This conceptual approach allows for a comprehensive analysis of institutional and policy mechanisms through which the private sector contributes to the delivery of public infrastructure and services.</w:t>
      </w:r>
      <w:r w:rsidR="00DB7F82" w:rsidRPr="00DB7F82">
        <w:rPr>
          <w:rFonts w:ascii="-webkit-standard" w:hAnsi="-webkit-standard"/>
          <w:color w:val="000000"/>
          <w:sz w:val="27"/>
          <w:szCs w:val="27"/>
        </w:rPr>
        <w:t xml:space="preserve"> </w:t>
      </w:r>
      <w:r w:rsidR="00DB7F82" w:rsidRPr="00DB7F82">
        <w:rPr>
          <w:color w:val="000000"/>
          <w:sz w:val="22"/>
          <w:szCs w:val="22"/>
        </w:rPr>
        <w:t>The article aims to clarify the conceptual and institutional differences between concessions and PPPs within the broader framework of public–private collaboration in the European Union. The contribution of this study lies in its qualitative comparative perspective on governance and risk allocation mechanisms</w:t>
      </w:r>
      <w:r w:rsidR="00DB7F82">
        <w:rPr>
          <w:rFonts w:ascii="-webkit-standard" w:hAnsi="-webkit-standard"/>
          <w:color w:val="000000"/>
          <w:sz w:val="27"/>
          <w:szCs w:val="27"/>
        </w:rPr>
        <w:t>.</w:t>
      </w:r>
    </w:p>
    <w:p w14:paraId="2BFDA0FB" w14:textId="77777777" w:rsidR="00603CBC" w:rsidRPr="00EB7D45" w:rsidRDefault="00603CBC" w:rsidP="00603CBC">
      <w:pPr>
        <w:pStyle w:val="NormalWeb"/>
        <w:spacing w:before="0" w:beforeAutospacing="0" w:after="0" w:afterAutospacing="0"/>
        <w:ind w:left="142" w:right="57"/>
        <w:jc w:val="both"/>
        <w:rPr>
          <w:rFonts w:ascii="-webkit-standard" w:hAnsi="-webkit-standard"/>
          <w:color w:val="000000"/>
          <w:sz w:val="27"/>
          <w:szCs w:val="27"/>
        </w:rPr>
      </w:pPr>
    </w:p>
    <w:p w14:paraId="53A7A12F" w14:textId="728FC4EA" w:rsidR="00E50E50" w:rsidRDefault="00641A1A" w:rsidP="00E50E50">
      <w:pPr>
        <w:pStyle w:val="ListParagraph"/>
        <w:numPr>
          <w:ilvl w:val="0"/>
          <w:numId w:val="4"/>
        </w:numPr>
        <w:spacing w:before="0" w:beforeAutospacing="0" w:after="0" w:afterAutospacing="0" w:line="240" w:lineRule="auto"/>
        <w:ind w:left="142" w:right="57" w:firstLine="0"/>
        <w:jc w:val="both"/>
        <w:rPr>
          <w:b/>
          <w:bCs/>
          <w:color w:val="000000"/>
          <w:sz w:val="22"/>
          <w:szCs w:val="22"/>
        </w:rPr>
      </w:pPr>
      <w:proofErr w:type="spellStart"/>
      <w:r>
        <w:rPr>
          <w:b/>
          <w:bCs/>
          <w:color w:val="000000"/>
          <w:sz w:val="22"/>
          <w:szCs w:val="22"/>
        </w:rPr>
        <w:t>Theoretical</w:t>
      </w:r>
      <w:proofErr w:type="spellEnd"/>
      <w:r>
        <w:rPr>
          <w:b/>
          <w:bCs/>
          <w:color w:val="000000"/>
          <w:sz w:val="22"/>
          <w:szCs w:val="22"/>
        </w:rPr>
        <w:t xml:space="preserve"> background</w:t>
      </w:r>
    </w:p>
    <w:p w14:paraId="150EA35C" w14:textId="77777777" w:rsidR="00EB7D45" w:rsidRPr="00190898" w:rsidRDefault="00EB7D45" w:rsidP="00EB7D45">
      <w:pPr>
        <w:pStyle w:val="ListParagraph"/>
        <w:spacing w:before="0" w:beforeAutospacing="0" w:after="0" w:afterAutospacing="0" w:line="240" w:lineRule="auto"/>
        <w:ind w:left="142" w:right="57"/>
        <w:jc w:val="both"/>
        <w:rPr>
          <w:b/>
          <w:bCs/>
          <w:color w:val="000000"/>
          <w:sz w:val="22"/>
          <w:szCs w:val="22"/>
        </w:rPr>
      </w:pPr>
    </w:p>
    <w:p w14:paraId="60DF6356" w14:textId="65958164" w:rsidR="00E50E50" w:rsidRDefault="00E50E50" w:rsidP="00E50E50">
      <w:pPr>
        <w:pStyle w:val="NormalWeb"/>
        <w:spacing w:before="0" w:beforeAutospacing="0" w:after="0" w:afterAutospacing="0"/>
        <w:ind w:left="142" w:right="57"/>
        <w:jc w:val="both"/>
        <w:rPr>
          <w:color w:val="000000"/>
          <w:sz w:val="22"/>
          <w:szCs w:val="22"/>
        </w:rPr>
      </w:pPr>
      <w:r w:rsidRPr="004075FA">
        <w:rPr>
          <w:rFonts w:ascii="TimesNewRomanPS" w:hAnsi="TimesNewRomanPS"/>
          <w:sz w:val="22"/>
          <w:szCs w:val="22"/>
        </w:rPr>
        <w:t>Organisation for Economic Cooperation and Development</w:t>
      </w:r>
      <w:r w:rsidRPr="004075FA">
        <w:rPr>
          <w:rFonts w:ascii="TimesNewRomanPS" w:hAnsi="TimesNewRomanPS"/>
          <w:sz w:val="22"/>
          <w:szCs w:val="22"/>
          <w:lang w:val="en-US"/>
        </w:rPr>
        <w:t xml:space="preserve"> (2019) </w:t>
      </w:r>
      <w:r>
        <w:rPr>
          <w:rFonts w:ascii="TimesNewRomanPS" w:hAnsi="TimesNewRomanPS"/>
          <w:sz w:val="22"/>
          <w:szCs w:val="22"/>
          <w:lang w:val="en-US"/>
        </w:rPr>
        <w:t>define c</w:t>
      </w:r>
      <w:r w:rsidRPr="004075FA">
        <w:rPr>
          <w:color w:val="000000"/>
          <w:sz w:val="22"/>
          <w:szCs w:val="22"/>
        </w:rPr>
        <w:t xml:space="preserve">oncessions </w:t>
      </w:r>
      <w:r>
        <w:rPr>
          <w:color w:val="000000"/>
          <w:sz w:val="22"/>
          <w:szCs w:val="22"/>
          <w:lang w:val="ro-RO"/>
        </w:rPr>
        <w:t>as</w:t>
      </w:r>
      <w:r w:rsidRPr="004075FA">
        <w:rPr>
          <w:color w:val="000000"/>
          <w:sz w:val="22"/>
          <w:szCs w:val="22"/>
        </w:rPr>
        <w:t xml:space="preserve"> contractual arrangements in which the remuneration for the execution of works or the provision of services is granted either exclusively through the right to exploit the resulting asset or service, or through a combination of this exploitation right and a financial payment. In this framework, the private partner assumes responsibility for delivering the project or service and recovers its investment primarily by operating the asset or service over a defined period, bearing a significant share of the associated economic and operational risks.</w:t>
      </w:r>
    </w:p>
    <w:p w14:paraId="74F2BD38" w14:textId="77777777" w:rsidR="00E50E50" w:rsidRPr="004075FA" w:rsidRDefault="00E50E50" w:rsidP="00E50E50">
      <w:pPr>
        <w:pStyle w:val="NormalWeb"/>
        <w:spacing w:before="0" w:beforeAutospacing="0" w:after="0" w:afterAutospacing="0"/>
        <w:ind w:left="142" w:right="57"/>
        <w:jc w:val="both"/>
        <w:rPr>
          <w:color w:val="000000"/>
          <w:sz w:val="22"/>
          <w:szCs w:val="22"/>
        </w:rPr>
      </w:pPr>
      <w:r w:rsidRPr="004075FA">
        <w:rPr>
          <w:color w:val="000000"/>
          <w:sz w:val="22"/>
          <w:szCs w:val="22"/>
        </w:rPr>
        <w:t>The acronym PPP refers to</w:t>
      </w:r>
      <w:r w:rsidRPr="004075FA">
        <w:rPr>
          <w:rStyle w:val="apple-converted-space"/>
          <w:rFonts w:eastAsiaTheme="majorEastAsia"/>
          <w:color w:val="000000"/>
          <w:sz w:val="22"/>
          <w:szCs w:val="22"/>
        </w:rPr>
        <w:t> </w:t>
      </w:r>
      <w:r w:rsidRPr="004075FA">
        <w:rPr>
          <w:rStyle w:val="Emphasis"/>
          <w:color w:val="000000"/>
          <w:sz w:val="22"/>
          <w:szCs w:val="22"/>
        </w:rPr>
        <w:t>Public–Private Partnership</w:t>
      </w:r>
      <w:r w:rsidRPr="004075FA">
        <w:rPr>
          <w:color w:val="000000"/>
          <w:sz w:val="22"/>
          <w:szCs w:val="22"/>
        </w:rPr>
        <w:t>, a broader concept encompassing various forms of collaboration between public authorities and private entities. PPPs are typically characterized by their contractual complexity and long-term nature, as they are designed to govern the delivery of infrastructure or public services over extended periods, often spanning several decades. These arrangements involve detailed contractual provisions regulating risk allocation, financing structures, performance standards, payment mechanisms, and responsibilities related to construction, operation, and maintenance.</w:t>
      </w:r>
    </w:p>
    <w:p w14:paraId="222D3FEA" w14:textId="10824031" w:rsidR="00603CBC" w:rsidRPr="00641A1A" w:rsidRDefault="00E50E50" w:rsidP="00641A1A">
      <w:pPr>
        <w:pStyle w:val="NormalWeb"/>
        <w:spacing w:before="0" w:beforeAutospacing="0" w:after="0" w:afterAutospacing="0"/>
        <w:ind w:left="142" w:right="57"/>
        <w:jc w:val="both"/>
        <w:rPr>
          <w:color w:val="000000"/>
          <w:sz w:val="22"/>
          <w:szCs w:val="22"/>
        </w:rPr>
      </w:pPr>
      <w:r w:rsidRPr="004075FA">
        <w:rPr>
          <w:color w:val="000000"/>
          <w:sz w:val="22"/>
          <w:szCs w:val="22"/>
        </w:rPr>
        <w:t xml:space="preserve">Due to their long-term horizon and multifaceted structure, PPP contracts require a high level of institutional capacity and careful planning from public authorities, as well as a clear alignment of incentives between the public and private partners. When properly designed and managed, PPPs and concessions can contribute to improved efficiency, innovation, and value for money in the provision of public infrastructure and services, </w:t>
      </w:r>
      <w:r w:rsidRPr="004075FA">
        <w:rPr>
          <w:color w:val="000000"/>
          <w:sz w:val="22"/>
          <w:szCs w:val="22"/>
        </w:rPr>
        <w:lastRenderedPageBreak/>
        <w:t>while also posing challenges related to transparency, flexibility, and public accountability.</w:t>
      </w:r>
    </w:p>
    <w:p w14:paraId="159CE1FB" w14:textId="58F650A8" w:rsidR="00FC5D53" w:rsidRPr="004075FA" w:rsidRDefault="00FC5D53" w:rsidP="004075FA">
      <w:pPr>
        <w:pStyle w:val="NormalWeb"/>
        <w:spacing w:before="0" w:beforeAutospacing="0" w:after="0" w:afterAutospacing="0"/>
        <w:ind w:left="142" w:right="57"/>
        <w:jc w:val="both"/>
        <w:rPr>
          <w:color w:val="000000"/>
          <w:sz w:val="22"/>
          <w:szCs w:val="22"/>
        </w:rPr>
      </w:pPr>
      <w:r w:rsidRPr="004075FA">
        <w:rPr>
          <w:color w:val="000000"/>
          <w:sz w:val="22"/>
          <w:szCs w:val="22"/>
        </w:rPr>
        <w:t>Under Directive 2004/1</w:t>
      </w:r>
      <w:r w:rsidRPr="004075FA">
        <w:rPr>
          <w:color w:val="000000"/>
          <w:sz w:val="22"/>
          <w:szCs w:val="22"/>
          <w:lang w:val="ro-RO"/>
        </w:rPr>
        <w:t>7</w:t>
      </w:r>
      <w:r w:rsidRPr="004075FA">
        <w:rPr>
          <w:color w:val="000000"/>
          <w:sz w:val="22"/>
          <w:szCs w:val="22"/>
        </w:rPr>
        <w:t>/EC on public sector procurement, concessions are defined</w:t>
      </w:r>
      <w:r w:rsidRPr="004075FA">
        <w:rPr>
          <w:color w:val="000000"/>
          <w:sz w:val="22"/>
          <w:szCs w:val="22"/>
          <w:lang w:val="ro-RO"/>
        </w:rPr>
        <w:t xml:space="preserve"> </w:t>
      </w:r>
      <w:r w:rsidRPr="004075FA">
        <w:rPr>
          <w:color w:val="000000"/>
          <w:sz w:val="22"/>
          <w:szCs w:val="22"/>
        </w:rPr>
        <w:t>as contracts in which the consideration for the execution of works or the provision of services consists either exclusively of the right to exploit the work or service, or of this right combined with a financial payment.</w:t>
      </w:r>
    </w:p>
    <w:p w14:paraId="06D07EA2" w14:textId="0B37371A" w:rsidR="00FC5D53" w:rsidRPr="004075FA" w:rsidRDefault="00FC5D53" w:rsidP="004075FA">
      <w:pPr>
        <w:pStyle w:val="NormalWeb"/>
        <w:spacing w:before="0" w:beforeAutospacing="0" w:after="0" w:afterAutospacing="0"/>
        <w:ind w:left="142" w:right="57"/>
        <w:jc w:val="both"/>
        <w:rPr>
          <w:color w:val="000000"/>
          <w:sz w:val="22"/>
          <w:szCs w:val="22"/>
        </w:rPr>
      </w:pPr>
      <w:r w:rsidRPr="004075FA">
        <w:rPr>
          <w:color w:val="000000"/>
          <w:sz w:val="22"/>
          <w:szCs w:val="22"/>
        </w:rPr>
        <w:t>The Directive establishes a differentiated legal treatment for works concessions and service concessions. Works concessions are subject to specific rules governing the procedures for their award, as expressly provided by the Directive. By contrast, service concessions fall outside the scope of the Directive; however, the fundamental principles of the Treaty apply to the award of such contracts in cases where there is a potential cross-border interest.</w:t>
      </w:r>
    </w:p>
    <w:p w14:paraId="60498648" w14:textId="331DDC38" w:rsidR="00FC5D53" w:rsidRDefault="00FC5D53" w:rsidP="004075FA">
      <w:pPr>
        <w:pStyle w:val="NormalWeb"/>
        <w:spacing w:before="0" w:beforeAutospacing="0" w:after="0" w:afterAutospacing="0"/>
        <w:ind w:left="142" w:right="57"/>
        <w:jc w:val="both"/>
        <w:rPr>
          <w:color w:val="000000"/>
          <w:sz w:val="22"/>
          <w:szCs w:val="22"/>
        </w:rPr>
      </w:pPr>
      <w:r w:rsidRPr="004075FA">
        <w:rPr>
          <w:color w:val="000000"/>
          <w:sz w:val="22"/>
          <w:szCs w:val="22"/>
        </w:rPr>
        <w:t>The notions of works concessions and service concessions are derived from European Union law and must therefore be interpreted in accordance with EU legal principles. National legal systems may adopt different definitions of concessions, which implies that certain contracts or arrangements classified as concessions under domestic law may not qualify as such for the purposes of the Directive.</w:t>
      </w:r>
    </w:p>
    <w:p w14:paraId="198F9D94" w14:textId="77777777" w:rsidR="004075FA" w:rsidRPr="00CE528D" w:rsidRDefault="004075FA" w:rsidP="004075FA">
      <w:pPr>
        <w:pStyle w:val="NormalWeb"/>
        <w:spacing w:before="0" w:beforeAutospacing="0" w:after="0" w:afterAutospacing="0"/>
        <w:ind w:left="142" w:right="57"/>
        <w:jc w:val="both"/>
        <w:rPr>
          <w:color w:val="000000"/>
          <w:sz w:val="22"/>
          <w:szCs w:val="22"/>
        </w:rPr>
      </w:pPr>
    </w:p>
    <w:p w14:paraId="01F7E9C5" w14:textId="65CB7F5E" w:rsidR="00E50E50" w:rsidRPr="00CE528D" w:rsidRDefault="00E50E50" w:rsidP="00603CBC">
      <w:pPr>
        <w:pStyle w:val="ListParagraph"/>
        <w:numPr>
          <w:ilvl w:val="0"/>
          <w:numId w:val="4"/>
        </w:numPr>
        <w:spacing w:before="0" w:beforeAutospacing="0" w:after="0" w:afterAutospacing="0" w:line="240" w:lineRule="auto"/>
        <w:ind w:left="567" w:right="57"/>
        <w:jc w:val="both"/>
        <w:rPr>
          <w:b/>
          <w:bCs/>
          <w:color w:val="000000"/>
          <w:sz w:val="22"/>
          <w:szCs w:val="22"/>
        </w:rPr>
      </w:pPr>
      <w:proofErr w:type="spellStart"/>
      <w:r w:rsidRPr="00CE528D">
        <w:rPr>
          <w:b/>
          <w:bCs/>
          <w:color w:val="000000"/>
          <w:sz w:val="22"/>
          <w:szCs w:val="22"/>
        </w:rPr>
        <w:t>Research</w:t>
      </w:r>
      <w:proofErr w:type="spellEnd"/>
      <w:r w:rsidRPr="00CE528D">
        <w:rPr>
          <w:b/>
          <w:bCs/>
          <w:color w:val="000000"/>
          <w:sz w:val="22"/>
          <w:szCs w:val="22"/>
        </w:rPr>
        <w:t xml:space="preserve"> </w:t>
      </w:r>
      <w:proofErr w:type="spellStart"/>
      <w:r w:rsidRPr="00CE528D">
        <w:rPr>
          <w:b/>
          <w:bCs/>
          <w:color w:val="000000"/>
          <w:sz w:val="22"/>
          <w:szCs w:val="22"/>
        </w:rPr>
        <w:t>Methodology</w:t>
      </w:r>
      <w:proofErr w:type="spellEnd"/>
    </w:p>
    <w:p w14:paraId="4AE217EF" w14:textId="77777777" w:rsidR="00E50E50" w:rsidRPr="00E50E50" w:rsidRDefault="00E50E50" w:rsidP="00E50E50">
      <w:pPr>
        <w:spacing w:before="0" w:beforeAutospacing="0" w:after="0" w:afterAutospacing="0" w:line="240" w:lineRule="auto"/>
        <w:ind w:right="57"/>
        <w:jc w:val="both"/>
        <w:rPr>
          <w:color w:val="000000"/>
        </w:rPr>
      </w:pPr>
    </w:p>
    <w:p w14:paraId="31FD442B" w14:textId="35B11233" w:rsidR="00DB7F82" w:rsidRPr="00DB7F82" w:rsidRDefault="00FC5D53" w:rsidP="004075FA">
      <w:pPr>
        <w:spacing w:before="0" w:beforeAutospacing="0" w:after="0" w:afterAutospacing="0" w:line="240" w:lineRule="auto"/>
        <w:ind w:left="142" w:right="57"/>
        <w:jc w:val="both"/>
        <w:rPr>
          <w:color w:val="000000"/>
          <w:sz w:val="22"/>
          <w:szCs w:val="22"/>
        </w:rPr>
      </w:pPr>
      <w:r w:rsidRPr="004075FA">
        <w:rPr>
          <w:color w:val="000000"/>
          <w:sz w:val="22"/>
          <w:szCs w:val="22"/>
        </w:rPr>
        <w:t xml:space="preserve">The </w:t>
      </w:r>
      <w:proofErr w:type="spellStart"/>
      <w:r w:rsidRPr="004075FA">
        <w:rPr>
          <w:color w:val="000000"/>
          <w:sz w:val="22"/>
          <w:szCs w:val="22"/>
        </w:rPr>
        <w:t>research</w:t>
      </w:r>
      <w:proofErr w:type="spellEnd"/>
      <w:r w:rsidRPr="004075FA">
        <w:rPr>
          <w:color w:val="000000"/>
          <w:sz w:val="22"/>
          <w:szCs w:val="22"/>
        </w:rPr>
        <w:t xml:space="preserve"> </w:t>
      </w:r>
      <w:proofErr w:type="spellStart"/>
      <w:r w:rsidRPr="004075FA">
        <w:rPr>
          <w:color w:val="000000"/>
          <w:sz w:val="22"/>
          <w:szCs w:val="22"/>
        </w:rPr>
        <w:t>is</w:t>
      </w:r>
      <w:proofErr w:type="spellEnd"/>
      <w:r w:rsidRPr="004075FA">
        <w:rPr>
          <w:color w:val="000000"/>
          <w:sz w:val="22"/>
          <w:szCs w:val="22"/>
        </w:rPr>
        <w:t xml:space="preserve"> </w:t>
      </w:r>
      <w:proofErr w:type="spellStart"/>
      <w:r w:rsidRPr="004075FA">
        <w:rPr>
          <w:color w:val="000000"/>
          <w:sz w:val="22"/>
          <w:szCs w:val="22"/>
        </w:rPr>
        <w:t>based</w:t>
      </w:r>
      <w:proofErr w:type="spellEnd"/>
      <w:r w:rsidRPr="004075FA">
        <w:rPr>
          <w:color w:val="000000"/>
          <w:sz w:val="22"/>
          <w:szCs w:val="22"/>
        </w:rPr>
        <w:t xml:space="preserve"> on a </w:t>
      </w:r>
      <w:proofErr w:type="spellStart"/>
      <w:r w:rsidRPr="004075FA">
        <w:rPr>
          <w:color w:val="000000"/>
          <w:sz w:val="22"/>
          <w:szCs w:val="22"/>
        </w:rPr>
        <w:t>qualitative</w:t>
      </w:r>
      <w:proofErr w:type="spellEnd"/>
      <w:r w:rsidRPr="004075FA">
        <w:rPr>
          <w:color w:val="000000"/>
          <w:sz w:val="22"/>
          <w:szCs w:val="22"/>
        </w:rPr>
        <w:t xml:space="preserve"> </w:t>
      </w:r>
      <w:proofErr w:type="spellStart"/>
      <w:r w:rsidRPr="004075FA">
        <w:rPr>
          <w:color w:val="000000"/>
          <w:sz w:val="22"/>
          <w:szCs w:val="22"/>
        </w:rPr>
        <w:t>literature</w:t>
      </w:r>
      <w:proofErr w:type="spellEnd"/>
      <w:r w:rsidRPr="004075FA">
        <w:rPr>
          <w:color w:val="000000"/>
          <w:sz w:val="22"/>
          <w:szCs w:val="22"/>
        </w:rPr>
        <w:t xml:space="preserve"> </w:t>
      </w:r>
      <w:proofErr w:type="spellStart"/>
      <w:r w:rsidRPr="004075FA">
        <w:rPr>
          <w:color w:val="000000"/>
          <w:sz w:val="22"/>
          <w:szCs w:val="22"/>
        </w:rPr>
        <w:t>review</w:t>
      </w:r>
      <w:proofErr w:type="spellEnd"/>
      <w:r w:rsidRPr="004075FA">
        <w:rPr>
          <w:color w:val="000000"/>
          <w:sz w:val="22"/>
          <w:szCs w:val="22"/>
        </w:rPr>
        <w:t xml:space="preserve">, </w:t>
      </w:r>
      <w:proofErr w:type="spellStart"/>
      <w:r w:rsidRPr="004075FA">
        <w:rPr>
          <w:color w:val="000000"/>
          <w:sz w:val="22"/>
          <w:szCs w:val="22"/>
        </w:rPr>
        <w:t>conducted</w:t>
      </w:r>
      <w:proofErr w:type="spellEnd"/>
      <w:r w:rsidRPr="004075FA">
        <w:rPr>
          <w:color w:val="000000"/>
          <w:sz w:val="22"/>
          <w:szCs w:val="22"/>
        </w:rPr>
        <w:t xml:space="preserve"> </w:t>
      </w:r>
      <w:proofErr w:type="spellStart"/>
      <w:r w:rsidRPr="004075FA">
        <w:rPr>
          <w:color w:val="000000"/>
          <w:sz w:val="22"/>
          <w:szCs w:val="22"/>
        </w:rPr>
        <w:t>through</w:t>
      </w:r>
      <w:proofErr w:type="spellEnd"/>
      <w:r w:rsidRPr="004075FA">
        <w:rPr>
          <w:color w:val="000000"/>
          <w:sz w:val="22"/>
          <w:szCs w:val="22"/>
        </w:rPr>
        <w:t xml:space="preserve"> a </w:t>
      </w:r>
      <w:proofErr w:type="spellStart"/>
      <w:r w:rsidRPr="004075FA">
        <w:rPr>
          <w:color w:val="000000"/>
          <w:sz w:val="22"/>
          <w:szCs w:val="22"/>
        </w:rPr>
        <w:t>structured</w:t>
      </w:r>
      <w:proofErr w:type="spellEnd"/>
      <w:r w:rsidRPr="004075FA">
        <w:rPr>
          <w:color w:val="000000"/>
          <w:sz w:val="22"/>
          <w:szCs w:val="22"/>
        </w:rPr>
        <w:t xml:space="preserve"> </w:t>
      </w:r>
      <w:proofErr w:type="spellStart"/>
      <w:r w:rsidRPr="004075FA">
        <w:rPr>
          <w:color w:val="000000"/>
          <w:sz w:val="22"/>
          <w:szCs w:val="22"/>
        </w:rPr>
        <w:t>analysis</w:t>
      </w:r>
      <w:proofErr w:type="spellEnd"/>
      <w:r w:rsidRPr="004075FA">
        <w:rPr>
          <w:color w:val="000000"/>
          <w:sz w:val="22"/>
          <w:szCs w:val="22"/>
        </w:rPr>
        <w:t xml:space="preserve"> of academic </w:t>
      </w:r>
      <w:proofErr w:type="spellStart"/>
      <w:r w:rsidRPr="004075FA">
        <w:rPr>
          <w:color w:val="000000"/>
          <w:sz w:val="22"/>
          <w:szCs w:val="22"/>
        </w:rPr>
        <w:t>publications</w:t>
      </w:r>
      <w:proofErr w:type="spellEnd"/>
      <w:r w:rsidRPr="004075FA">
        <w:rPr>
          <w:color w:val="000000"/>
          <w:sz w:val="22"/>
          <w:szCs w:val="22"/>
        </w:rPr>
        <w:t xml:space="preserve"> </w:t>
      </w:r>
      <w:proofErr w:type="spellStart"/>
      <w:r w:rsidRPr="004075FA">
        <w:rPr>
          <w:color w:val="000000"/>
          <w:sz w:val="22"/>
          <w:szCs w:val="22"/>
        </w:rPr>
        <w:t>and</w:t>
      </w:r>
      <w:proofErr w:type="spellEnd"/>
      <w:r w:rsidRPr="004075FA">
        <w:rPr>
          <w:color w:val="000000"/>
          <w:sz w:val="22"/>
          <w:szCs w:val="22"/>
        </w:rPr>
        <w:t xml:space="preserve"> </w:t>
      </w:r>
      <w:proofErr w:type="spellStart"/>
      <w:r w:rsidRPr="004075FA">
        <w:rPr>
          <w:color w:val="000000"/>
          <w:sz w:val="22"/>
          <w:szCs w:val="22"/>
        </w:rPr>
        <w:t>institutional</w:t>
      </w:r>
      <w:proofErr w:type="spellEnd"/>
      <w:r w:rsidRPr="004075FA">
        <w:rPr>
          <w:color w:val="000000"/>
          <w:sz w:val="22"/>
          <w:szCs w:val="22"/>
        </w:rPr>
        <w:t xml:space="preserve"> </w:t>
      </w:r>
      <w:proofErr w:type="spellStart"/>
      <w:r w:rsidRPr="004075FA">
        <w:rPr>
          <w:color w:val="000000"/>
          <w:sz w:val="22"/>
          <w:szCs w:val="22"/>
        </w:rPr>
        <w:t>reports</w:t>
      </w:r>
      <w:proofErr w:type="spellEnd"/>
      <w:r w:rsidRPr="004075FA">
        <w:rPr>
          <w:color w:val="000000"/>
          <w:sz w:val="22"/>
          <w:szCs w:val="22"/>
        </w:rPr>
        <w:t xml:space="preserve"> </w:t>
      </w:r>
      <w:proofErr w:type="spellStart"/>
      <w:r w:rsidRPr="004075FA">
        <w:rPr>
          <w:color w:val="000000"/>
          <w:sz w:val="22"/>
          <w:szCs w:val="22"/>
        </w:rPr>
        <w:t>addressing</w:t>
      </w:r>
      <w:proofErr w:type="spellEnd"/>
      <w:r w:rsidRPr="004075FA">
        <w:rPr>
          <w:color w:val="000000"/>
          <w:sz w:val="22"/>
          <w:szCs w:val="22"/>
        </w:rPr>
        <w:t xml:space="preserve"> public</w:t>
      </w:r>
      <w:r w:rsidR="00E50E50">
        <w:rPr>
          <w:color w:val="000000"/>
          <w:sz w:val="22"/>
          <w:szCs w:val="22"/>
        </w:rPr>
        <w:t>-</w:t>
      </w:r>
      <w:r w:rsidRPr="004075FA">
        <w:rPr>
          <w:color w:val="000000"/>
          <w:sz w:val="22"/>
          <w:szCs w:val="22"/>
        </w:rPr>
        <w:t xml:space="preserve">private </w:t>
      </w:r>
      <w:proofErr w:type="spellStart"/>
      <w:r w:rsidRPr="004075FA">
        <w:rPr>
          <w:color w:val="000000"/>
          <w:sz w:val="22"/>
          <w:szCs w:val="22"/>
        </w:rPr>
        <w:t>partnerships</w:t>
      </w:r>
      <w:proofErr w:type="spellEnd"/>
      <w:r w:rsidRPr="004075FA">
        <w:rPr>
          <w:color w:val="000000"/>
          <w:sz w:val="22"/>
          <w:szCs w:val="22"/>
        </w:rPr>
        <w:t xml:space="preserve">, </w:t>
      </w:r>
      <w:proofErr w:type="spellStart"/>
      <w:r w:rsidRPr="004075FA">
        <w:rPr>
          <w:color w:val="000000"/>
          <w:sz w:val="22"/>
          <w:szCs w:val="22"/>
        </w:rPr>
        <w:t>concessions</w:t>
      </w:r>
      <w:proofErr w:type="spellEnd"/>
      <w:r w:rsidRPr="004075FA">
        <w:rPr>
          <w:color w:val="000000"/>
          <w:sz w:val="22"/>
          <w:szCs w:val="22"/>
        </w:rPr>
        <w:t xml:space="preserve">, </w:t>
      </w:r>
      <w:proofErr w:type="spellStart"/>
      <w:r w:rsidRPr="004075FA">
        <w:rPr>
          <w:color w:val="000000"/>
          <w:sz w:val="22"/>
          <w:szCs w:val="22"/>
        </w:rPr>
        <w:t>and</w:t>
      </w:r>
      <w:proofErr w:type="spellEnd"/>
      <w:r w:rsidRPr="004075FA">
        <w:rPr>
          <w:color w:val="000000"/>
          <w:sz w:val="22"/>
          <w:szCs w:val="22"/>
        </w:rPr>
        <w:t xml:space="preserve"> </w:t>
      </w:r>
      <w:proofErr w:type="spellStart"/>
      <w:r w:rsidRPr="004075FA">
        <w:rPr>
          <w:color w:val="000000"/>
          <w:sz w:val="22"/>
          <w:szCs w:val="22"/>
        </w:rPr>
        <w:t>other</w:t>
      </w:r>
      <w:proofErr w:type="spellEnd"/>
      <w:r w:rsidRPr="004075FA">
        <w:rPr>
          <w:color w:val="000000"/>
          <w:sz w:val="22"/>
          <w:szCs w:val="22"/>
        </w:rPr>
        <w:t xml:space="preserve"> </w:t>
      </w:r>
      <w:proofErr w:type="spellStart"/>
      <w:r w:rsidRPr="004075FA">
        <w:rPr>
          <w:color w:val="000000"/>
          <w:sz w:val="22"/>
          <w:szCs w:val="22"/>
        </w:rPr>
        <w:t>hybrid</w:t>
      </w:r>
      <w:proofErr w:type="spellEnd"/>
      <w:r w:rsidRPr="004075FA">
        <w:rPr>
          <w:color w:val="000000"/>
          <w:sz w:val="22"/>
          <w:szCs w:val="22"/>
        </w:rPr>
        <w:t xml:space="preserve"> </w:t>
      </w:r>
      <w:proofErr w:type="spellStart"/>
      <w:r w:rsidRPr="004075FA">
        <w:rPr>
          <w:color w:val="000000"/>
          <w:sz w:val="22"/>
          <w:szCs w:val="22"/>
        </w:rPr>
        <w:t>forms</w:t>
      </w:r>
      <w:proofErr w:type="spellEnd"/>
      <w:r w:rsidRPr="004075FA">
        <w:rPr>
          <w:color w:val="000000"/>
          <w:sz w:val="22"/>
          <w:szCs w:val="22"/>
        </w:rPr>
        <w:t xml:space="preserve"> of </w:t>
      </w:r>
      <w:proofErr w:type="spellStart"/>
      <w:r w:rsidRPr="004075FA">
        <w:rPr>
          <w:color w:val="000000"/>
          <w:sz w:val="22"/>
          <w:szCs w:val="22"/>
        </w:rPr>
        <w:t>collaboration</w:t>
      </w:r>
      <w:proofErr w:type="spellEnd"/>
      <w:r w:rsidRPr="004075FA">
        <w:rPr>
          <w:color w:val="000000"/>
          <w:sz w:val="22"/>
          <w:szCs w:val="22"/>
        </w:rPr>
        <w:t xml:space="preserve"> </w:t>
      </w:r>
      <w:proofErr w:type="spellStart"/>
      <w:r w:rsidRPr="004075FA">
        <w:rPr>
          <w:color w:val="000000"/>
          <w:sz w:val="22"/>
          <w:szCs w:val="22"/>
        </w:rPr>
        <w:t>between</w:t>
      </w:r>
      <w:proofErr w:type="spellEnd"/>
      <w:r w:rsidRPr="004075FA">
        <w:rPr>
          <w:color w:val="000000"/>
          <w:sz w:val="22"/>
          <w:szCs w:val="22"/>
        </w:rPr>
        <w:t xml:space="preserve"> public </w:t>
      </w:r>
      <w:proofErr w:type="spellStart"/>
      <w:r w:rsidRPr="004075FA">
        <w:rPr>
          <w:color w:val="000000"/>
          <w:sz w:val="22"/>
          <w:szCs w:val="22"/>
        </w:rPr>
        <w:t>and</w:t>
      </w:r>
      <w:proofErr w:type="spellEnd"/>
      <w:r w:rsidRPr="004075FA">
        <w:rPr>
          <w:color w:val="000000"/>
          <w:sz w:val="22"/>
          <w:szCs w:val="22"/>
        </w:rPr>
        <w:t xml:space="preserve"> private </w:t>
      </w:r>
      <w:proofErr w:type="spellStart"/>
      <w:r w:rsidRPr="004075FA">
        <w:rPr>
          <w:color w:val="000000"/>
          <w:sz w:val="22"/>
          <w:szCs w:val="22"/>
        </w:rPr>
        <w:t>actors</w:t>
      </w:r>
      <w:proofErr w:type="spellEnd"/>
      <w:r w:rsidRPr="004075FA">
        <w:rPr>
          <w:color w:val="000000"/>
          <w:sz w:val="22"/>
          <w:szCs w:val="22"/>
        </w:rPr>
        <w:t>.</w:t>
      </w:r>
      <w:r w:rsidR="00DB7F82" w:rsidRPr="00DB7F82">
        <w:rPr>
          <w:rFonts w:ascii="-webkit-standard" w:hAnsi="-webkit-standard"/>
          <w:color w:val="000000"/>
          <w:sz w:val="27"/>
          <w:szCs w:val="27"/>
        </w:rPr>
        <w:t xml:space="preserve"> </w:t>
      </w:r>
      <w:r w:rsidR="00DB7F82" w:rsidRPr="00DB7F82">
        <w:rPr>
          <w:color w:val="000000"/>
          <w:sz w:val="22"/>
          <w:szCs w:val="22"/>
        </w:rPr>
        <w:t xml:space="preserve">A </w:t>
      </w:r>
      <w:proofErr w:type="spellStart"/>
      <w:r w:rsidR="00DB7F82" w:rsidRPr="00DB7F82">
        <w:rPr>
          <w:color w:val="000000"/>
          <w:sz w:val="22"/>
          <w:szCs w:val="22"/>
        </w:rPr>
        <w:t>qualitative</w:t>
      </w:r>
      <w:proofErr w:type="spellEnd"/>
      <w:r w:rsidR="00DB7F82" w:rsidRPr="00DB7F82">
        <w:rPr>
          <w:color w:val="000000"/>
          <w:sz w:val="22"/>
          <w:szCs w:val="22"/>
        </w:rPr>
        <w:t xml:space="preserve"> </w:t>
      </w:r>
      <w:proofErr w:type="spellStart"/>
      <w:r w:rsidR="00DB7F82" w:rsidRPr="00DB7F82">
        <w:rPr>
          <w:color w:val="000000"/>
          <w:sz w:val="22"/>
          <w:szCs w:val="22"/>
        </w:rPr>
        <w:t>approach</w:t>
      </w:r>
      <w:proofErr w:type="spellEnd"/>
      <w:r w:rsidR="00DB7F82" w:rsidRPr="00DB7F82">
        <w:rPr>
          <w:color w:val="000000"/>
          <w:sz w:val="22"/>
          <w:szCs w:val="22"/>
        </w:rPr>
        <w:t xml:space="preserve"> </w:t>
      </w:r>
      <w:proofErr w:type="spellStart"/>
      <w:r w:rsidR="00DB7F82" w:rsidRPr="00DB7F82">
        <w:rPr>
          <w:color w:val="000000"/>
          <w:sz w:val="22"/>
          <w:szCs w:val="22"/>
        </w:rPr>
        <w:t>is</w:t>
      </w:r>
      <w:proofErr w:type="spellEnd"/>
      <w:r w:rsidR="00DB7F82" w:rsidRPr="00DB7F82">
        <w:rPr>
          <w:color w:val="000000"/>
          <w:sz w:val="22"/>
          <w:szCs w:val="22"/>
        </w:rPr>
        <w:t xml:space="preserve"> </w:t>
      </w:r>
      <w:proofErr w:type="spellStart"/>
      <w:r w:rsidR="00DB7F82" w:rsidRPr="00DB7F82">
        <w:rPr>
          <w:color w:val="000000"/>
          <w:sz w:val="22"/>
          <w:szCs w:val="22"/>
        </w:rPr>
        <w:t>appropriate</w:t>
      </w:r>
      <w:proofErr w:type="spellEnd"/>
      <w:r w:rsidR="00DB7F82" w:rsidRPr="00DB7F82">
        <w:rPr>
          <w:color w:val="000000"/>
          <w:sz w:val="22"/>
          <w:szCs w:val="22"/>
        </w:rPr>
        <w:t xml:space="preserve"> </w:t>
      </w:r>
      <w:proofErr w:type="spellStart"/>
      <w:r w:rsidR="00DB7F82" w:rsidRPr="00DB7F82">
        <w:rPr>
          <w:color w:val="000000"/>
          <w:sz w:val="22"/>
          <w:szCs w:val="22"/>
        </w:rPr>
        <w:t>given</w:t>
      </w:r>
      <w:proofErr w:type="spellEnd"/>
      <w:r w:rsidR="00DB7F82" w:rsidRPr="00DB7F82">
        <w:rPr>
          <w:color w:val="000000"/>
          <w:sz w:val="22"/>
          <w:szCs w:val="22"/>
        </w:rPr>
        <w:t xml:space="preserve"> </w:t>
      </w:r>
      <w:proofErr w:type="spellStart"/>
      <w:r w:rsidR="00DB7F82" w:rsidRPr="00DB7F82">
        <w:rPr>
          <w:color w:val="000000"/>
          <w:sz w:val="22"/>
          <w:szCs w:val="22"/>
        </w:rPr>
        <w:t>the</w:t>
      </w:r>
      <w:proofErr w:type="spellEnd"/>
      <w:r w:rsidR="00DB7F82" w:rsidRPr="00DB7F82">
        <w:rPr>
          <w:color w:val="000000"/>
          <w:sz w:val="22"/>
          <w:szCs w:val="22"/>
        </w:rPr>
        <w:t xml:space="preserve"> </w:t>
      </w:r>
      <w:proofErr w:type="spellStart"/>
      <w:r w:rsidR="00DB7F82" w:rsidRPr="00DB7F82">
        <w:rPr>
          <w:color w:val="000000"/>
          <w:sz w:val="22"/>
          <w:szCs w:val="22"/>
        </w:rPr>
        <w:t>institutional</w:t>
      </w:r>
      <w:proofErr w:type="spellEnd"/>
      <w:r w:rsidR="00DB7F82" w:rsidRPr="00DB7F82">
        <w:rPr>
          <w:color w:val="000000"/>
          <w:sz w:val="22"/>
          <w:szCs w:val="22"/>
        </w:rPr>
        <w:t xml:space="preserve"> </w:t>
      </w:r>
      <w:proofErr w:type="spellStart"/>
      <w:r w:rsidR="00DB7F82" w:rsidRPr="00DB7F82">
        <w:rPr>
          <w:color w:val="000000"/>
          <w:sz w:val="22"/>
          <w:szCs w:val="22"/>
        </w:rPr>
        <w:t>and</w:t>
      </w:r>
      <w:proofErr w:type="spellEnd"/>
      <w:r w:rsidR="00DB7F82" w:rsidRPr="00DB7F82">
        <w:rPr>
          <w:color w:val="000000"/>
          <w:sz w:val="22"/>
          <w:szCs w:val="22"/>
        </w:rPr>
        <w:t xml:space="preserve"> conceptual </w:t>
      </w:r>
      <w:proofErr w:type="spellStart"/>
      <w:r w:rsidR="00DB7F82" w:rsidRPr="00DB7F82">
        <w:rPr>
          <w:color w:val="000000"/>
          <w:sz w:val="22"/>
          <w:szCs w:val="22"/>
        </w:rPr>
        <w:t>nature</w:t>
      </w:r>
      <w:proofErr w:type="spellEnd"/>
      <w:r w:rsidR="00DB7F82" w:rsidRPr="00DB7F82">
        <w:rPr>
          <w:color w:val="000000"/>
          <w:sz w:val="22"/>
          <w:szCs w:val="22"/>
        </w:rPr>
        <w:t xml:space="preserve"> of </w:t>
      </w:r>
      <w:proofErr w:type="spellStart"/>
      <w:r w:rsidR="00DB7F82" w:rsidRPr="00DB7F82">
        <w:rPr>
          <w:color w:val="000000"/>
          <w:sz w:val="22"/>
          <w:szCs w:val="22"/>
        </w:rPr>
        <w:t>the</w:t>
      </w:r>
      <w:proofErr w:type="spellEnd"/>
      <w:r w:rsidR="00DB7F82" w:rsidRPr="00DB7F82">
        <w:rPr>
          <w:color w:val="000000"/>
          <w:sz w:val="22"/>
          <w:szCs w:val="22"/>
        </w:rPr>
        <w:t xml:space="preserve"> </w:t>
      </w:r>
      <w:proofErr w:type="spellStart"/>
      <w:r w:rsidR="00DB7F82" w:rsidRPr="00DB7F82">
        <w:rPr>
          <w:color w:val="000000"/>
          <w:sz w:val="22"/>
          <w:szCs w:val="22"/>
        </w:rPr>
        <w:t>research</w:t>
      </w:r>
      <w:proofErr w:type="spellEnd"/>
      <w:r w:rsidR="00DB7F82" w:rsidRPr="00DB7F82">
        <w:rPr>
          <w:color w:val="000000"/>
          <w:sz w:val="22"/>
          <w:szCs w:val="22"/>
        </w:rPr>
        <w:t>.</w:t>
      </w:r>
    </w:p>
    <w:p w14:paraId="6E7B7E88" w14:textId="2A1991DB" w:rsidR="00FC5D53" w:rsidRPr="004075FA" w:rsidRDefault="00FC5D53" w:rsidP="004075FA">
      <w:pPr>
        <w:spacing w:before="0" w:beforeAutospacing="0" w:after="0" w:afterAutospacing="0" w:line="240" w:lineRule="auto"/>
        <w:ind w:left="142" w:right="57"/>
        <w:jc w:val="both"/>
        <w:rPr>
          <w:color w:val="000000"/>
          <w:sz w:val="22"/>
          <w:szCs w:val="22"/>
        </w:rPr>
      </w:pPr>
      <w:r w:rsidRPr="004075FA">
        <w:rPr>
          <w:color w:val="000000"/>
          <w:sz w:val="22"/>
          <w:szCs w:val="22"/>
        </w:rPr>
        <w:t xml:space="preserve"> The </w:t>
      </w:r>
      <w:proofErr w:type="spellStart"/>
      <w:r w:rsidRPr="004075FA">
        <w:rPr>
          <w:color w:val="000000"/>
          <w:sz w:val="22"/>
          <w:szCs w:val="22"/>
        </w:rPr>
        <w:t>qualitative</w:t>
      </w:r>
      <w:proofErr w:type="spellEnd"/>
      <w:r w:rsidRPr="004075FA">
        <w:rPr>
          <w:color w:val="000000"/>
          <w:sz w:val="22"/>
          <w:szCs w:val="22"/>
        </w:rPr>
        <w:t xml:space="preserve"> </w:t>
      </w:r>
      <w:proofErr w:type="spellStart"/>
      <w:r w:rsidRPr="004075FA">
        <w:rPr>
          <w:color w:val="000000"/>
          <w:sz w:val="22"/>
          <w:szCs w:val="22"/>
        </w:rPr>
        <w:t>approach</w:t>
      </w:r>
      <w:proofErr w:type="spellEnd"/>
      <w:r w:rsidRPr="004075FA">
        <w:rPr>
          <w:color w:val="000000"/>
          <w:sz w:val="22"/>
          <w:szCs w:val="22"/>
        </w:rPr>
        <w:t xml:space="preserve"> </w:t>
      </w:r>
      <w:proofErr w:type="spellStart"/>
      <w:r w:rsidRPr="004075FA">
        <w:rPr>
          <w:color w:val="000000"/>
          <w:sz w:val="22"/>
          <w:szCs w:val="22"/>
        </w:rPr>
        <w:t>aims</w:t>
      </w:r>
      <w:proofErr w:type="spellEnd"/>
      <w:r w:rsidRPr="004075FA">
        <w:rPr>
          <w:color w:val="000000"/>
          <w:sz w:val="22"/>
          <w:szCs w:val="22"/>
        </w:rPr>
        <w:t xml:space="preserve"> </w:t>
      </w:r>
      <w:proofErr w:type="spellStart"/>
      <w:r w:rsidRPr="004075FA">
        <w:rPr>
          <w:color w:val="000000"/>
          <w:sz w:val="22"/>
          <w:szCs w:val="22"/>
        </w:rPr>
        <w:t>to</w:t>
      </w:r>
      <w:proofErr w:type="spellEnd"/>
      <w:r w:rsidRPr="004075FA">
        <w:rPr>
          <w:color w:val="000000"/>
          <w:sz w:val="22"/>
          <w:szCs w:val="22"/>
        </w:rPr>
        <w:t xml:space="preserve"> </w:t>
      </w:r>
      <w:proofErr w:type="spellStart"/>
      <w:r w:rsidRPr="004075FA">
        <w:rPr>
          <w:color w:val="000000"/>
          <w:sz w:val="22"/>
          <w:szCs w:val="22"/>
        </w:rPr>
        <w:t>identify</w:t>
      </w:r>
      <w:proofErr w:type="spellEnd"/>
      <w:r w:rsidRPr="004075FA">
        <w:rPr>
          <w:color w:val="000000"/>
          <w:sz w:val="22"/>
          <w:szCs w:val="22"/>
        </w:rPr>
        <w:t xml:space="preserve"> </w:t>
      </w:r>
      <w:proofErr w:type="spellStart"/>
      <w:r w:rsidRPr="004075FA">
        <w:rPr>
          <w:color w:val="000000"/>
          <w:sz w:val="22"/>
          <w:szCs w:val="22"/>
        </w:rPr>
        <w:t>and</w:t>
      </w:r>
      <w:proofErr w:type="spellEnd"/>
      <w:r w:rsidRPr="004075FA">
        <w:rPr>
          <w:color w:val="000000"/>
          <w:sz w:val="22"/>
          <w:szCs w:val="22"/>
        </w:rPr>
        <w:t xml:space="preserve"> interpret dominant </w:t>
      </w:r>
      <w:proofErr w:type="spellStart"/>
      <w:r w:rsidRPr="004075FA">
        <w:rPr>
          <w:color w:val="000000"/>
          <w:sz w:val="22"/>
          <w:szCs w:val="22"/>
        </w:rPr>
        <w:t>themes</w:t>
      </w:r>
      <w:proofErr w:type="spellEnd"/>
      <w:r w:rsidRPr="004075FA">
        <w:rPr>
          <w:color w:val="000000"/>
          <w:sz w:val="22"/>
          <w:szCs w:val="22"/>
        </w:rPr>
        <w:t xml:space="preserve">, </w:t>
      </w:r>
      <w:proofErr w:type="spellStart"/>
      <w:r w:rsidRPr="004075FA">
        <w:rPr>
          <w:color w:val="000000"/>
          <w:sz w:val="22"/>
          <w:szCs w:val="22"/>
        </w:rPr>
        <w:t>institutional</w:t>
      </w:r>
      <w:proofErr w:type="spellEnd"/>
      <w:r w:rsidRPr="004075FA">
        <w:rPr>
          <w:color w:val="000000"/>
          <w:sz w:val="22"/>
          <w:szCs w:val="22"/>
        </w:rPr>
        <w:t xml:space="preserve"> </w:t>
      </w:r>
      <w:proofErr w:type="spellStart"/>
      <w:r w:rsidRPr="004075FA">
        <w:rPr>
          <w:color w:val="000000"/>
          <w:sz w:val="22"/>
          <w:szCs w:val="22"/>
        </w:rPr>
        <w:t>practices</w:t>
      </w:r>
      <w:proofErr w:type="spellEnd"/>
      <w:r w:rsidRPr="004075FA">
        <w:rPr>
          <w:color w:val="000000"/>
          <w:sz w:val="22"/>
          <w:szCs w:val="22"/>
        </w:rPr>
        <w:t xml:space="preserve">, </w:t>
      </w:r>
      <w:proofErr w:type="spellStart"/>
      <w:r w:rsidRPr="004075FA">
        <w:rPr>
          <w:color w:val="000000"/>
          <w:sz w:val="22"/>
          <w:szCs w:val="22"/>
        </w:rPr>
        <w:t>and</w:t>
      </w:r>
      <w:proofErr w:type="spellEnd"/>
      <w:r w:rsidRPr="004075FA">
        <w:rPr>
          <w:color w:val="000000"/>
          <w:sz w:val="22"/>
          <w:szCs w:val="22"/>
        </w:rPr>
        <w:t xml:space="preserve"> </w:t>
      </w:r>
      <w:proofErr w:type="spellStart"/>
      <w:r w:rsidRPr="004075FA">
        <w:rPr>
          <w:color w:val="000000"/>
          <w:sz w:val="22"/>
          <w:szCs w:val="22"/>
        </w:rPr>
        <w:t>policy</w:t>
      </w:r>
      <w:proofErr w:type="spellEnd"/>
      <w:r w:rsidRPr="004075FA">
        <w:rPr>
          <w:color w:val="000000"/>
          <w:sz w:val="22"/>
          <w:szCs w:val="22"/>
        </w:rPr>
        <w:t xml:space="preserve"> </w:t>
      </w:r>
      <w:proofErr w:type="spellStart"/>
      <w:r w:rsidRPr="004075FA">
        <w:rPr>
          <w:color w:val="000000"/>
          <w:sz w:val="22"/>
          <w:szCs w:val="22"/>
        </w:rPr>
        <w:t>perspectives</w:t>
      </w:r>
      <w:proofErr w:type="spellEnd"/>
      <w:r w:rsidRPr="004075FA">
        <w:rPr>
          <w:color w:val="000000"/>
          <w:sz w:val="22"/>
          <w:szCs w:val="22"/>
        </w:rPr>
        <w:t xml:space="preserve"> </w:t>
      </w:r>
      <w:proofErr w:type="spellStart"/>
      <w:r w:rsidRPr="004075FA">
        <w:rPr>
          <w:color w:val="000000"/>
          <w:sz w:val="22"/>
          <w:szCs w:val="22"/>
        </w:rPr>
        <w:t>related</w:t>
      </w:r>
      <w:proofErr w:type="spellEnd"/>
      <w:r w:rsidRPr="004075FA">
        <w:rPr>
          <w:color w:val="000000"/>
          <w:sz w:val="22"/>
          <w:szCs w:val="22"/>
        </w:rPr>
        <w:t xml:space="preserve"> </w:t>
      </w:r>
      <w:proofErr w:type="spellStart"/>
      <w:r w:rsidRPr="004075FA">
        <w:rPr>
          <w:color w:val="000000"/>
          <w:sz w:val="22"/>
          <w:szCs w:val="22"/>
        </w:rPr>
        <w:t>to</w:t>
      </w:r>
      <w:proofErr w:type="spellEnd"/>
      <w:r w:rsidRPr="004075FA">
        <w:rPr>
          <w:color w:val="000000"/>
          <w:sz w:val="22"/>
          <w:szCs w:val="22"/>
        </w:rPr>
        <w:t xml:space="preserve"> public–private </w:t>
      </w:r>
      <w:proofErr w:type="spellStart"/>
      <w:r w:rsidRPr="004075FA">
        <w:rPr>
          <w:color w:val="000000"/>
          <w:sz w:val="22"/>
          <w:szCs w:val="22"/>
        </w:rPr>
        <w:t>collaboration</w:t>
      </w:r>
      <w:proofErr w:type="spellEnd"/>
      <w:r w:rsidRPr="004075FA">
        <w:rPr>
          <w:color w:val="000000"/>
          <w:sz w:val="22"/>
          <w:szCs w:val="22"/>
        </w:rPr>
        <w:t xml:space="preserve"> in </w:t>
      </w:r>
      <w:proofErr w:type="spellStart"/>
      <w:r w:rsidRPr="004075FA">
        <w:rPr>
          <w:color w:val="000000"/>
          <w:sz w:val="22"/>
          <w:szCs w:val="22"/>
        </w:rPr>
        <w:t>the</w:t>
      </w:r>
      <w:proofErr w:type="spellEnd"/>
      <w:r w:rsidRPr="004075FA">
        <w:rPr>
          <w:color w:val="000000"/>
          <w:sz w:val="22"/>
          <w:szCs w:val="22"/>
        </w:rPr>
        <w:t xml:space="preserve"> European context.</w:t>
      </w:r>
    </w:p>
    <w:p w14:paraId="12B21973" w14:textId="77777777" w:rsidR="00FC5D53" w:rsidRPr="004075FA" w:rsidRDefault="00FC5D53" w:rsidP="004075FA">
      <w:pPr>
        <w:spacing w:before="0" w:beforeAutospacing="0" w:after="0" w:afterAutospacing="0" w:line="240" w:lineRule="auto"/>
        <w:ind w:left="142" w:right="57"/>
        <w:jc w:val="both"/>
        <w:rPr>
          <w:color w:val="000000"/>
          <w:sz w:val="22"/>
          <w:szCs w:val="22"/>
        </w:rPr>
      </w:pPr>
      <w:r w:rsidRPr="004075FA">
        <w:rPr>
          <w:color w:val="000000"/>
          <w:sz w:val="22"/>
          <w:szCs w:val="22"/>
        </w:rPr>
        <w:t xml:space="preserve">The </w:t>
      </w:r>
      <w:proofErr w:type="spellStart"/>
      <w:r w:rsidRPr="004075FA">
        <w:rPr>
          <w:color w:val="000000"/>
          <w:sz w:val="22"/>
          <w:szCs w:val="22"/>
        </w:rPr>
        <w:t>study</w:t>
      </w:r>
      <w:proofErr w:type="spellEnd"/>
      <w:r w:rsidRPr="004075FA">
        <w:rPr>
          <w:color w:val="000000"/>
          <w:sz w:val="22"/>
          <w:szCs w:val="22"/>
        </w:rPr>
        <w:t xml:space="preserve"> </w:t>
      </w:r>
      <w:proofErr w:type="spellStart"/>
      <w:r w:rsidRPr="004075FA">
        <w:rPr>
          <w:color w:val="000000"/>
          <w:sz w:val="22"/>
          <w:szCs w:val="22"/>
        </w:rPr>
        <w:t>seeks</w:t>
      </w:r>
      <w:proofErr w:type="spellEnd"/>
      <w:r w:rsidRPr="004075FA">
        <w:rPr>
          <w:color w:val="000000"/>
          <w:sz w:val="22"/>
          <w:szCs w:val="22"/>
        </w:rPr>
        <w:t xml:space="preserve"> </w:t>
      </w:r>
      <w:proofErr w:type="spellStart"/>
      <w:r w:rsidRPr="004075FA">
        <w:rPr>
          <w:color w:val="000000"/>
          <w:sz w:val="22"/>
          <w:szCs w:val="22"/>
        </w:rPr>
        <w:t>to</w:t>
      </w:r>
      <w:proofErr w:type="spellEnd"/>
      <w:r w:rsidRPr="004075FA">
        <w:rPr>
          <w:color w:val="000000"/>
          <w:sz w:val="22"/>
          <w:szCs w:val="22"/>
        </w:rPr>
        <w:t xml:space="preserve"> </w:t>
      </w:r>
      <w:proofErr w:type="spellStart"/>
      <w:r w:rsidRPr="004075FA">
        <w:rPr>
          <w:color w:val="000000"/>
          <w:sz w:val="22"/>
          <w:szCs w:val="22"/>
        </w:rPr>
        <w:t>highlight</w:t>
      </w:r>
      <w:proofErr w:type="spellEnd"/>
      <w:r w:rsidRPr="004075FA">
        <w:rPr>
          <w:color w:val="000000"/>
          <w:sz w:val="22"/>
          <w:szCs w:val="22"/>
        </w:rPr>
        <w:t xml:space="preserve"> relevant </w:t>
      </w:r>
      <w:proofErr w:type="spellStart"/>
      <w:r w:rsidRPr="004075FA">
        <w:rPr>
          <w:color w:val="000000"/>
          <w:sz w:val="22"/>
          <w:szCs w:val="22"/>
        </w:rPr>
        <w:t>findings</w:t>
      </w:r>
      <w:proofErr w:type="spellEnd"/>
      <w:r w:rsidRPr="004075FA">
        <w:rPr>
          <w:color w:val="000000"/>
          <w:sz w:val="22"/>
          <w:szCs w:val="22"/>
        </w:rPr>
        <w:t xml:space="preserve"> </w:t>
      </w:r>
      <w:proofErr w:type="spellStart"/>
      <w:r w:rsidRPr="004075FA">
        <w:rPr>
          <w:color w:val="000000"/>
          <w:sz w:val="22"/>
          <w:szCs w:val="22"/>
        </w:rPr>
        <w:t>concerning</w:t>
      </w:r>
      <w:proofErr w:type="spellEnd"/>
      <w:r w:rsidRPr="004075FA">
        <w:rPr>
          <w:color w:val="000000"/>
          <w:sz w:val="22"/>
          <w:szCs w:val="22"/>
        </w:rPr>
        <w:t xml:space="preserve"> </w:t>
      </w:r>
      <w:proofErr w:type="spellStart"/>
      <w:r w:rsidRPr="004075FA">
        <w:rPr>
          <w:color w:val="000000"/>
          <w:sz w:val="22"/>
          <w:szCs w:val="22"/>
        </w:rPr>
        <w:t>the</w:t>
      </w:r>
      <w:proofErr w:type="spellEnd"/>
      <w:r w:rsidRPr="004075FA">
        <w:rPr>
          <w:color w:val="000000"/>
          <w:sz w:val="22"/>
          <w:szCs w:val="22"/>
        </w:rPr>
        <w:t xml:space="preserve"> role of public–private </w:t>
      </w:r>
      <w:proofErr w:type="spellStart"/>
      <w:r w:rsidRPr="004075FA">
        <w:rPr>
          <w:color w:val="000000"/>
          <w:sz w:val="22"/>
          <w:szCs w:val="22"/>
        </w:rPr>
        <w:t>collaboration</w:t>
      </w:r>
      <w:proofErr w:type="spellEnd"/>
      <w:r w:rsidRPr="004075FA">
        <w:rPr>
          <w:color w:val="000000"/>
          <w:sz w:val="22"/>
          <w:szCs w:val="22"/>
        </w:rPr>
        <w:t xml:space="preserve"> in </w:t>
      </w:r>
      <w:proofErr w:type="spellStart"/>
      <w:r w:rsidRPr="004075FA">
        <w:rPr>
          <w:color w:val="000000"/>
          <w:sz w:val="22"/>
          <w:szCs w:val="22"/>
        </w:rPr>
        <w:t>supporting</w:t>
      </w:r>
      <w:proofErr w:type="spellEnd"/>
      <w:r w:rsidRPr="004075FA">
        <w:rPr>
          <w:color w:val="000000"/>
          <w:sz w:val="22"/>
          <w:szCs w:val="22"/>
        </w:rPr>
        <w:t xml:space="preserve"> </w:t>
      </w:r>
      <w:proofErr w:type="spellStart"/>
      <w:r w:rsidRPr="004075FA">
        <w:rPr>
          <w:color w:val="000000"/>
          <w:sz w:val="22"/>
          <w:szCs w:val="22"/>
        </w:rPr>
        <w:t>the</w:t>
      </w:r>
      <w:proofErr w:type="spellEnd"/>
      <w:r w:rsidRPr="004075FA">
        <w:rPr>
          <w:color w:val="000000"/>
          <w:sz w:val="22"/>
          <w:szCs w:val="22"/>
        </w:rPr>
        <w:t xml:space="preserve"> economic </w:t>
      </w:r>
      <w:proofErr w:type="spellStart"/>
      <w:r w:rsidRPr="004075FA">
        <w:rPr>
          <w:color w:val="000000"/>
          <w:sz w:val="22"/>
          <w:szCs w:val="22"/>
        </w:rPr>
        <w:t>development</w:t>
      </w:r>
      <w:proofErr w:type="spellEnd"/>
      <w:r w:rsidRPr="004075FA">
        <w:rPr>
          <w:color w:val="000000"/>
          <w:sz w:val="22"/>
          <w:szCs w:val="22"/>
        </w:rPr>
        <w:t xml:space="preserve"> of European </w:t>
      </w:r>
      <w:proofErr w:type="spellStart"/>
      <w:r w:rsidRPr="004075FA">
        <w:rPr>
          <w:color w:val="000000"/>
          <w:sz w:val="22"/>
          <w:szCs w:val="22"/>
        </w:rPr>
        <w:t>states</w:t>
      </w:r>
      <w:proofErr w:type="spellEnd"/>
      <w:r w:rsidRPr="004075FA">
        <w:rPr>
          <w:color w:val="000000"/>
          <w:sz w:val="22"/>
          <w:szCs w:val="22"/>
        </w:rPr>
        <w:t xml:space="preserve">, </w:t>
      </w:r>
      <w:proofErr w:type="spellStart"/>
      <w:r w:rsidRPr="004075FA">
        <w:rPr>
          <w:color w:val="000000"/>
          <w:sz w:val="22"/>
          <w:szCs w:val="22"/>
        </w:rPr>
        <w:t>with</w:t>
      </w:r>
      <w:proofErr w:type="spellEnd"/>
      <w:r w:rsidRPr="004075FA">
        <w:rPr>
          <w:color w:val="000000"/>
          <w:sz w:val="22"/>
          <w:szCs w:val="22"/>
        </w:rPr>
        <w:t xml:space="preserve"> particular </w:t>
      </w:r>
      <w:proofErr w:type="spellStart"/>
      <w:r w:rsidRPr="004075FA">
        <w:rPr>
          <w:color w:val="000000"/>
          <w:sz w:val="22"/>
          <w:szCs w:val="22"/>
        </w:rPr>
        <w:t>attention</w:t>
      </w:r>
      <w:proofErr w:type="spellEnd"/>
      <w:r w:rsidRPr="004075FA">
        <w:rPr>
          <w:color w:val="000000"/>
          <w:sz w:val="22"/>
          <w:szCs w:val="22"/>
        </w:rPr>
        <w:t xml:space="preserve"> </w:t>
      </w:r>
      <w:proofErr w:type="spellStart"/>
      <w:r w:rsidRPr="004075FA">
        <w:rPr>
          <w:color w:val="000000"/>
          <w:sz w:val="22"/>
          <w:szCs w:val="22"/>
        </w:rPr>
        <w:t>to</w:t>
      </w:r>
      <w:proofErr w:type="spellEnd"/>
      <w:r w:rsidRPr="004075FA">
        <w:rPr>
          <w:color w:val="000000"/>
          <w:sz w:val="22"/>
          <w:szCs w:val="22"/>
        </w:rPr>
        <w:t xml:space="preserve"> </w:t>
      </w:r>
      <w:proofErr w:type="spellStart"/>
      <w:r w:rsidRPr="004075FA">
        <w:rPr>
          <w:color w:val="000000"/>
          <w:sz w:val="22"/>
          <w:szCs w:val="22"/>
        </w:rPr>
        <w:t>PPPs</w:t>
      </w:r>
      <w:proofErr w:type="spellEnd"/>
      <w:r w:rsidRPr="004075FA">
        <w:rPr>
          <w:color w:val="000000"/>
          <w:sz w:val="22"/>
          <w:szCs w:val="22"/>
        </w:rPr>
        <w:t xml:space="preserve"> as </w:t>
      </w:r>
      <w:proofErr w:type="spellStart"/>
      <w:r w:rsidRPr="004075FA">
        <w:rPr>
          <w:color w:val="000000"/>
          <w:sz w:val="22"/>
          <w:szCs w:val="22"/>
        </w:rPr>
        <w:t>smart</w:t>
      </w:r>
      <w:proofErr w:type="spellEnd"/>
      <w:r w:rsidRPr="004075FA">
        <w:rPr>
          <w:color w:val="000000"/>
          <w:sz w:val="22"/>
          <w:szCs w:val="22"/>
        </w:rPr>
        <w:t xml:space="preserve"> </w:t>
      </w:r>
      <w:proofErr w:type="spellStart"/>
      <w:r w:rsidRPr="004075FA">
        <w:rPr>
          <w:color w:val="000000"/>
          <w:sz w:val="22"/>
          <w:szCs w:val="22"/>
        </w:rPr>
        <w:t>and</w:t>
      </w:r>
      <w:proofErr w:type="spellEnd"/>
      <w:r w:rsidRPr="004075FA">
        <w:rPr>
          <w:color w:val="000000"/>
          <w:sz w:val="22"/>
          <w:szCs w:val="22"/>
        </w:rPr>
        <w:t xml:space="preserve"> </w:t>
      </w:r>
      <w:proofErr w:type="spellStart"/>
      <w:r w:rsidRPr="004075FA">
        <w:rPr>
          <w:color w:val="000000"/>
          <w:sz w:val="22"/>
          <w:szCs w:val="22"/>
        </w:rPr>
        <w:t>flexible</w:t>
      </w:r>
      <w:proofErr w:type="spellEnd"/>
      <w:r w:rsidRPr="004075FA">
        <w:rPr>
          <w:color w:val="000000"/>
          <w:sz w:val="22"/>
          <w:szCs w:val="22"/>
        </w:rPr>
        <w:t xml:space="preserve"> </w:t>
      </w:r>
      <w:proofErr w:type="spellStart"/>
      <w:r w:rsidRPr="004075FA">
        <w:rPr>
          <w:color w:val="000000"/>
          <w:sz w:val="22"/>
          <w:szCs w:val="22"/>
        </w:rPr>
        <w:t>financing</w:t>
      </w:r>
      <w:proofErr w:type="spellEnd"/>
      <w:r w:rsidRPr="004075FA">
        <w:rPr>
          <w:color w:val="000000"/>
          <w:sz w:val="22"/>
          <w:szCs w:val="22"/>
        </w:rPr>
        <w:t xml:space="preserve"> </w:t>
      </w:r>
      <w:proofErr w:type="spellStart"/>
      <w:r w:rsidRPr="004075FA">
        <w:rPr>
          <w:color w:val="000000"/>
          <w:sz w:val="22"/>
          <w:szCs w:val="22"/>
        </w:rPr>
        <w:t>solutions</w:t>
      </w:r>
      <w:proofErr w:type="spellEnd"/>
      <w:r w:rsidRPr="004075FA">
        <w:rPr>
          <w:color w:val="000000"/>
          <w:sz w:val="22"/>
          <w:szCs w:val="22"/>
        </w:rPr>
        <w:t xml:space="preserve"> in </w:t>
      </w:r>
      <w:proofErr w:type="spellStart"/>
      <w:r w:rsidRPr="004075FA">
        <w:rPr>
          <w:color w:val="000000"/>
          <w:sz w:val="22"/>
          <w:szCs w:val="22"/>
        </w:rPr>
        <w:t>the</w:t>
      </w:r>
      <w:proofErr w:type="spellEnd"/>
      <w:r w:rsidRPr="004075FA">
        <w:rPr>
          <w:color w:val="000000"/>
          <w:sz w:val="22"/>
          <w:szCs w:val="22"/>
        </w:rPr>
        <w:t xml:space="preserve"> </w:t>
      </w:r>
      <w:proofErr w:type="spellStart"/>
      <w:r w:rsidRPr="004075FA">
        <w:rPr>
          <w:color w:val="000000"/>
          <w:sz w:val="22"/>
          <w:szCs w:val="22"/>
        </w:rPr>
        <w:t>contemporary</w:t>
      </w:r>
      <w:proofErr w:type="spellEnd"/>
      <w:r w:rsidRPr="004075FA">
        <w:rPr>
          <w:color w:val="000000"/>
          <w:sz w:val="22"/>
          <w:szCs w:val="22"/>
        </w:rPr>
        <w:t xml:space="preserve"> economic </w:t>
      </w:r>
      <w:proofErr w:type="spellStart"/>
      <w:r w:rsidRPr="004075FA">
        <w:rPr>
          <w:color w:val="000000"/>
          <w:sz w:val="22"/>
          <w:szCs w:val="22"/>
        </w:rPr>
        <w:t>environment</w:t>
      </w:r>
      <w:proofErr w:type="spellEnd"/>
      <w:r w:rsidRPr="004075FA">
        <w:rPr>
          <w:color w:val="000000"/>
          <w:sz w:val="22"/>
          <w:szCs w:val="22"/>
        </w:rPr>
        <w:t xml:space="preserve">. In </w:t>
      </w:r>
      <w:proofErr w:type="spellStart"/>
      <w:r w:rsidRPr="004075FA">
        <w:rPr>
          <w:color w:val="000000"/>
          <w:sz w:val="22"/>
          <w:szCs w:val="22"/>
        </w:rPr>
        <w:t>current</w:t>
      </w:r>
      <w:proofErr w:type="spellEnd"/>
      <w:r w:rsidRPr="004075FA">
        <w:rPr>
          <w:color w:val="000000"/>
          <w:sz w:val="22"/>
          <w:szCs w:val="22"/>
        </w:rPr>
        <w:t xml:space="preserve"> economic practice, </w:t>
      </w:r>
      <w:proofErr w:type="spellStart"/>
      <w:r w:rsidRPr="004075FA">
        <w:rPr>
          <w:color w:val="000000"/>
          <w:sz w:val="22"/>
          <w:szCs w:val="22"/>
        </w:rPr>
        <w:t>collaborative</w:t>
      </w:r>
      <w:proofErr w:type="spellEnd"/>
      <w:r w:rsidRPr="004075FA">
        <w:rPr>
          <w:color w:val="000000"/>
          <w:sz w:val="22"/>
          <w:szCs w:val="22"/>
        </w:rPr>
        <w:t xml:space="preserve"> </w:t>
      </w:r>
      <w:proofErr w:type="spellStart"/>
      <w:r w:rsidRPr="004075FA">
        <w:rPr>
          <w:color w:val="000000"/>
          <w:sz w:val="22"/>
          <w:szCs w:val="22"/>
        </w:rPr>
        <w:t>arrangements</w:t>
      </w:r>
      <w:proofErr w:type="spellEnd"/>
      <w:r w:rsidRPr="004075FA">
        <w:rPr>
          <w:color w:val="000000"/>
          <w:sz w:val="22"/>
          <w:szCs w:val="22"/>
        </w:rPr>
        <w:t xml:space="preserve"> </w:t>
      </w:r>
      <w:proofErr w:type="spellStart"/>
      <w:r w:rsidRPr="004075FA">
        <w:rPr>
          <w:color w:val="000000"/>
          <w:sz w:val="22"/>
          <w:szCs w:val="22"/>
        </w:rPr>
        <w:t>frequently</w:t>
      </w:r>
      <w:proofErr w:type="spellEnd"/>
      <w:r w:rsidRPr="004075FA">
        <w:rPr>
          <w:color w:val="000000"/>
          <w:sz w:val="22"/>
          <w:szCs w:val="22"/>
        </w:rPr>
        <w:t xml:space="preserve"> </w:t>
      </w:r>
      <w:proofErr w:type="spellStart"/>
      <w:r w:rsidRPr="004075FA">
        <w:rPr>
          <w:color w:val="000000"/>
          <w:sz w:val="22"/>
          <w:szCs w:val="22"/>
        </w:rPr>
        <w:t>involve</w:t>
      </w:r>
      <w:proofErr w:type="spellEnd"/>
      <w:r w:rsidRPr="004075FA">
        <w:rPr>
          <w:color w:val="000000"/>
          <w:sz w:val="22"/>
          <w:szCs w:val="22"/>
        </w:rPr>
        <w:t xml:space="preserve"> </w:t>
      </w:r>
      <w:proofErr w:type="spellStart"/>
      <w:r w:rsidRPr="004075FA">
        <w:rPr>
          <w:color w:val="000000"/>
          <w:sz w:val="22"/>
          <w:szCs w:val="22"/>
        </w:rPr>
        <w:t>both</w:t>
      </w:r>
      <w:proofErr w:type="spellEnd"/>
      <w:r w:rsidRPr="004075FA">
        <w:rPr>
          <w:color w:val="000000"/>
          <w:sz w:val="22"/>
          <w:szCs w:val="22"/>
        </w:rPr>
        <w:t xml:space="preserve"> </w:t>
      </w:r>
      <w:proofErr w:type="spellStart"/>
      <w:r w:rsidRPr="004075FA">
        <w:rPr>
          <w:color w:val="000000"/>
          <w:sz w:val="22"/>
          <w:szCs w:val="22"/>
        </w:rPr>
        <w:t>commercial</w:t>
      </w:r>
      <w:proofErr w:type="spellEnd"/>
      <w:r w:rsidRPr="004075FA">
        <w:rPr>
          <w:color w:val="000000"/>
          <w:sz w:val="22"/>
          <w:szCs w:val="22"/>
        </w:rPr>
        <w:t xml:space="preserve"> </w:t>
      </w:r>
      <w:proofErr w:type="spellStart"/>
      <w:r w:rsidRPr="004075FA">
        <w:rPr>
          <w:color w:val="000000"/>
          <w:sz w:val="22"/>
          <w:szCs w:val="22"/>
        </w:rPr>
        <w:t>companies</w:t>
      </w:r>
      <w:proofErr w:type="spellEnd"/>
      <w:r w:rsidRPr="004075FA">
        <w:rPr>
          <w:color w:val="000000"/>
          <w:sz w:val="22"/>
          <w:szCs w:val="22"/>
        </w:rPr>
        <w:t xml:space="preserve"> </w:t>
      </w:r>
      <w:proofErr w:type="spellStart"/>
      <w:r w:rsidRPr="004075FA">
        <w:rPr>
          <w:color w:val="000000"/>
          <w:sz w:val="22"/>
          <w:szCs w:val="22"/>
        </w:rPr>
        <w:t>and</w:t>
      </w:r>
      <w:proofErr w:type="spellEnd"/>
      <w:r w:rsidRPr="004075FA">
        <w:rPr>
          <w:color w:val="000000"/>
          <w:sz w:val="22"/>
          <w:szCs w:val="22"/>
        </w:rPr>
        <w:t xml:space="preserve"> public </w:t>
      </w:r>
      <w:proofErr w:type="spellStart"/>
      <w:r w:rsidRPr="004075FA">
        <w:rPr>
          <w:color w:val="000000"/>
          <w:sz w:val="22"/>
          <w:szCs w:val="22"/>
        </w:rPr>
        <w:t>institutions</w:t>
      </w:r>
      <w:proofErr w:type="spellEnd"/>
      <w:r w:rsidRPr="004075FA">
        <w:rPr>
          <w:color w:val="000000"/>
          <w:sz w:val="22"/>
          <w:szCs w:val="22"/>
        </w:rPr>
        <w:t xml:space="preserve">, </w:t>
      </w:r>
      <w:proofErr w:type="spellStart"/>
      <w:r w:rsidRPr="004075FA">
        <w:rPr>
          <w:color w:val="000000"/>
          <w:sz w:val="22"/>
          <w:szCs w:val="22"/>
        </w:rPr>
        <w:t>with</w:t>
      </w:r>
      <w:proofErr w:type="spellEnd"/>
      <w:r w:rsidRPr="004075FA">
        <w:rPr>
          <w:color w:val="000000"/>
          <w:sz w:val="22"/>
          <w:szCs w:val="22"/>
        </w:rPr>
        <w:t xml:space="preserve"> </w:t>
      </w:r>
      <w:proofErr w:type="spellStart"/>
      <w:r w:rsidRPr="004075FA">
        <w:rPr>
          <w:color w:val="000000"/>
          <w:sz w:val="22"/>
          <w:szCs w:val="22"/>
        </w:rPr>
        <w:t>such</w:t>
      </w:r>
      <w:proofErr w:type="spellEnd"/>
      <w:r w:rsidRPr="004075FA">
        <w:rPr>
          <w:color w:val="000000"/>
          <w:sz w:val="22"/>
          <w:szCs w:val="22"/>
        </w:rPr>
        <w:t xml:space="preserve"> </w:t>
      </w:r>
      <w:proofErr w:type="spellStart"/>
      <w:r w:rsidRPr="004075FA">
        <w:rPr>
          <w:color w:val="000000"/>
          <w:sz w:val="22"/>
          <w:szCs w:val="22"/>
        </w:rPr>
        <w:t>associations</w:t>
      </w:r>
      <w:proofErr w:type="spellEnd"/>
      <w:r w:rsidRPr="004075FA">
        <w:rPr>
          <w:color w:val="000000"/>
          <w:sz w:val="22"/>
          <w:szCs w:val="22"/>
        </w:rPr>
        <w:t xml:space="preserve"> </w:t>
      </w:r>
      <w:proofErr w:type="spellStart"/>
      <w:r w:rsidRPr="004075FA">
        <w:rPr>
          <w:color w:val="000000"/>
          <w:sz w:val="22"/>
          <w:szCs w:val="22"/>
        </w:rPr>
        <w:t>taking</w:t>
      </w:r>
      <w:proofErr w:type="spellEnd"/>
      <w:r w:rsidRPr="004075FA">
        <w:rPr>
          <w:color w:val="000000"/>
          <w:sz w:val="22"/>
          <w:szCs w:val="22"/>
        </w:rPr>
        <w:t xml:space="preserve"> </w:t>
      </w:r>
      <w:proofErr w:type="spellStart"/>
      <w:r w:rsidRPr="004075FA">
        <w:rPr>
          <w:color w:val="000000"/>
          <w:sz w:val="22"/>
          <w:szCs w:val="22"/>
        </w:rPr>
        <w:t>the</w:t>
      </w:r>
      <w:proofErr w:type="spellEnd"/>
      <w:r w:rsidRPr="004075FA">
        <w:rPr>
          <w:color w:val="000000"/>
          <w:sz w:val="22"/>
          <w:szCs w:val="22"/>
        </w:rPr>
        <w:t xml:space="preserve"> </w:t>
      </w:r>
      <w:proofErr w:type="spellStart"/>
      <w:r w:rsidRPr="004075FA">
        <w:rPr>
          <w:color w:val="000000"/>
          <w:sz w:val="22"/>
          <w:szCs w:val="22"/>
        </w:rPr>
        <w:t>form</w:t>
      </w:r>
      <w:proofErr w:type="spellEnd"/>
      <w:r w:rsidRPr="004075FA">
        <w:rPr>
          <w:color w:val="000000"/>
          <w:sz w:val="22"/>
          <w:szCs w:val="22"/>
        </w:rPr>
        <w:t xml:space="preserve"> of </w:t>
      </w:r>
      <w:proofErr w:type="spellStart"/>
      <w:r w:rsidRPr="004075FA">
        <w:rPr>
          <w:color w:val="000000"/>
          <w:sz w:val="22"/>
          <w:szCs w:val="22"/>
        </w:rPr>
        <w:t>joint</w:t>
      </w:r>
      <w:proofErr w:type="spellEnd"/>
      <w:r w:rsidRPr="004075FA">
        <w:rPr>
          <w:color w:val="000000"/>
          <w:sz w:val="22"/>
          <w:szCs w:val="22"/>
        </w:rPr>
        <w:t xml:space="preserve"> </w:t>
      </w:r>
      <w:proofErr w:type="spellStart"/>
      <w:r w:rsidRPr="004075FA">
        <w:rPr>
          <w:color w:val="000000"/>
          <w:sz w:val="22"/>
          <w:szCs w:val="22"/>
        </w:rPr>
        <w:t>ventures</w:t>
      </w:r>
      <w:proofErr w:type="spellEnd"/>
      <w:r w:rsidRPr="004075FA">
        <w:rPr>
          <w:color w:val="000000"/>
          <w:sz w:val="22"/>
          <w:szCs w:val="22"/>
        </w:rPr>
        <w:t xml:space="preserve">, public–private </w:t>
      </w:r>
      <w:proofErr w:type="spellStart"/>
      <w:r w:rsidRPr="004075FA">
        <w:rPr>
          <w:color w:val="000000"/>
          <w:sz w:val="22"/>
          <w:szCs w:val="22"/>
        </w:rPr>
        <w:t>partnerships</w:t>
      </w:r>
      <w:proofErr w:type="spellEnd"/>
      <w:r w:rsidRPr="004075FA">
        <w:rPr>
          <w:color w:val="000000"/>
          <w:sz w:val="22"/>
          <w:szCs w:val="22"/>
        </w:rPr>
        <w:t xml:space="preserve">, or </w:t>
      </w:r>
      <w:proofErr w:type="spellStart"/>
      <w:r w:rsidRPr="004075FA">
        <w:rPr>
          <w:color w:val="000000"/>
          <w:sz w:val="22"/>
          <w:szCs w:val="22"/>
        </w:rPr>
        <w:t>concession-based</w:t>
      </w:r>
      <w:proofErr w:type="spellEnd"/>
      <w:r w:rsidRPr="004075FA">
        <w:rPr>
          <w:color w:val="000000"/>
          <w:sz w:val="22"/>
          <w:szCs w:val="22"/>
        </w:rPr>
        <w:t xml:space="preserve"> </w:t>
      </w:r>
      <w:proofErr w:type="spellStart"/>
      <w:r w:rsidRPr="004075FA">
        <w:rPr>
          <w:color w:val="000000"/>
          <w:sz w:val="22"/>
          <w:szCs w:val="22"/>
        </w:rPr>
        <w:t>contracts</w:t>
      </w:r>
      <w:proofErr w:type="spellEnd"/>
      <w:r w:rsidRPr="004075FA">
        <w:rPr>
          <w:color w:val="000000"/>
          <w:sz w:val="22"/>
          <w:szCs w:val="22"/>
        </w:rPr>
        <w:t xml:space="preserve"> (</w:t>
      </w:r>
      <w:proofErr w:type="spellStart"/>
      <w:r w:rsidRPr="004075FA">
        <w:rPr>
          <w:color w:val="000000"/>
          <w:sz w:val="22"/>
          <w:szCs w:val="22"/>
        </w:rPr>
        <w:t>Longa</w:t>
      </w:r>
      <w:proofErr w:type="spellEnd"/>
      <w:r w:rsidRPr="004075FA">
        <w:rPr>
          <w:color w:val="000000"/>
          <w:sz w:val="22"/>
          <w:szCs w:val="22"/>
        </w:rPr>
        <w:t>, 2011).</w:t>
      </w:r>
    </w:p>
    <w:p w14:paraId="232B79D9" w14:textId="4E1F177B" w:rsidR="00FC5D53" w:rsidRDefault="00FC5D53" w:rsidP="00815EFD">
      <w:pPr>
        <w:spacing w:before="0" w:beforeAutospacing="0" w:after="0" w:afterAutospacing="0" w:line="240" w:lineRule="auto"/>
        <w:ind w:left="142" w:right="57"/>
        <w:jc w:val="both"/>
        <w:rPr>
          <w:color w:val="000000"/>
          <w:sz w:val="22"/>
          <w:szCs w:val="22"/>
        </w:rPr>
      </w:pPr>
      <w:r w:rsidRPr="004075FA">
        <w:rPr>
          <w:color w:val="000000"/>
          <w:sz w:val="22"/>
          <w:szCs w:val="22"/>
        </w:rPr>
        <w:t xml:space="preserve">The </w:t>
      </w:r>
      <w:proofErr w:type="spellStart"/>
      <w:r w:rsidRPr="004075FA">
        <w:rPr>
          <w:color w:val="000000"/>
          <w:sz w:val="22"/>
          <w:szCs w:val="22"/>
        </w:rPr>
        <w:t>reviewed</w:t>
      </w:r>
      <w:proofErr w:type="spellEnd"/>
      <w:r w:rsidRPr="004075FA">
        <w:rPr>
          <w:color w:val="000000"/>
          <w:sz w:val="22"/>
          <w:szCs w:val="22"/>
        </w:rPr>
        <w:t xml:space="preserve"> </w:t>
      </w:r>
      <w:proofErr w:type="spellStart"/>
      <w:r w:rsidRPr="004075FA">
        <w:rPr>
          <w:color w:val="000000"/>
          <w:sz w:val="22"/>
          <w:szCs w:val="22"/>
        </w:rPr>
        <w:t>articles</w:t>
      </w:r>
      <w:proofErr w:type="spellEnd"/>
      <w:r w:rsidRPr="004075FA">
        <w:rPr>
          <w:color w:val="000000"/>
          <w:sz w:val="22"/>
          <w:szCs w:val="22"/>
        </w:rPr>
        <w:t xml:space="preserve"> </w:t>
      </w:r>
      <w:proofErr w:type="spellStart"/>
      <w:r w:rsidRPr="004075FA">
        <w:rPr>
          <w:color w:val="000000"/>
          <w:sz w:val="22"/>
          <w:szCs w:val="22"/>
        </w:rPr>
        <w:t>were</w:t>
      </w:r>
      <w:proofErr w:type="spellEnd"/>
      <w:r w:rsidRPr="004075FA">
        <w:rPr>
          <w:color w:val="000000"/>
          <w:sz w:val="22"/>
          <w:szCs w:val="22"/>
        </w:rPr>
        <w:t xml:space="preserve"> </w:t>
      </w:r>
      <w:proofErr w:type="spellStart"/>
      <w:r w:rsidRPr="004075FA">
        <w:rPr>
          <w:color w:val="000000"/>
          <w:sz w:val="22"/>
          <w:szCs w:val="22"/>
        </w:rPr>
        <w:t>sourced</w:t>
      </w:r>
      <w:proofErr w:type="spellEnd"/>
      <w:r w:rsidRPr="004075FA">
        <w:rPr>
          <w:color w:val="000000"/>
          <w:sz w:val="22"/>
          <w:szCs w:val="22"/>
        </w:rPr>
        <w:t xml:space="preserve"> </w:t>
      </w:r>
      <w:proofErr w:type="spellStart"/>
      <w:r w:rsidRPr="004075FA">
        <w:rPr>
          <w:color w:val="000000"/>
          <w:sz w:val="22"/>
          <w:szCs w:val="22"/>
        </w:rPr>
        <w:t>from</w:t>
      </w:r>
      <w:proofErr w:type="spellEnd"/>
      <w:r w:rsidRPr="004075FA">
        <w:rPr>
          <w:color w:val="000000"/>
          <w:sz w:val="22"/>
          <w:szCs w:val="22"/>
        </w:rPr>
        <w:t xml:space="preserve"> </w:t>
      </w:r>
      <w:proofErr w:type="spellStart"/>
      <w:r w:rsidRPr="004075FA">
        <w:rPr>
          <w:color w:val="000000"/>
          <w:sz w:val="22"/>
          <w:szCs w:val="22"/>
        </w:rPr>
        <w:t>recognized</w:t>
      </w:r>
      <w:proofErr w:type="spellEnd"/>
      <w:r w:rsidRPr="004075FA">
        <w:rPr>
          <w:color w:val="000000"/>
          <w:sz w:val="22"/>
          <w:szCs w:val="22"/>
        </w:rPr>
        <w:t xml:space="preserve"> academic </w:t>
      </w:r>
      <w:proofErr w:type="spellStart"/>
      <w:r w:rsidRPr="004075FA">
        <w:rPr>
          <w:color w:val="000000"/>
          <w:sz w:val="22"/>
          <w:szCs w:val="22"/>
        </w:rPr>
        <w:t>databases</w:t>
      </w:r>
      <w:proofErr w:type="spellEnd"/>
      <w:r w:rsidRPr="004075FA">
        <w:rPr>
          <w:color w:val="000000"/>
          <w:sz w:val="22"/>
          <w:szCs w:val="22"/>
        </w:rPr>
        <w:t xml:space="preserve"> </w:t>
      </w:r>
      <w:proofErr w:type="spellStart"/>
      <w:r w:rsidRPr="004075FA">
        <w:rPr>
          <w:color w:val="000000"/>
          <w:sz w:val="22"/>
          <w:szCs w:val="22"/>
        </w:rPr>
        <w:t>such</w:t>
      </w:r>
      <w:proofErr w:type="spellEnd"/>
      <w:r w:rsidRPr="004075FA">
        <w:rPr>
          <w:color w:val="000000"/>
          <w:sz w:val="22"/>
          <w:szCs w:val="22"/>
        </w:rPr>
        <w:t xml:space="preserve"> as </w:t>
      </w:r>
      <w:proofErr w:type="spellStart"/>
      <w:r w:rsidRPr="004075FA">
        <w:rPr>
          <w:color w:val="000000"/>
          <w:sz w:val="22"/>
          <w:szCs w:val="22"/>
        </w:rPr>
        <w:t>ScienceDirect</w:t>
      </w:r>
      <w:proofErr w:type="spellEnd"/>
      <w:r w:rsidRPr="004075FA">
        <w:rPr>
          <w:color w:val="000000"/>
          <w:sz w:val="22"/>
          <w:szCs w:val="22"/>
        </w:rPr>
        <w:t xml:space="preserve">, DOAJ, </w:t>
      </w:r>
      <w:proofErr w:type="spellStart"/>
      <w:r w:rsidRPr="004075FA">
        <w:rPr>
          <w:color w:val="000000"/>
          <w:sz w:val="22"/>
          <w:szCs w:val="22"/>
        </w:rPr>
        <w:t>and</w:t>
      </w:r>
      <w:proofErr w:type="spellEnd"/>
      <w:r w:rsidRPr="004075FA">
        <w:rPr>
          <w:color w:val="000000"/>
          <w:sz w:val="22"/>
          <w:szCs w:val="22"/>
        </w:rPr>
        <w:t xml:space="preserve"> </w:t>
      </w:r>
      <w:proofErr w:type="spellStart"/>
      <w:r w:rsidRPr="004075FA">
        <w:rPr>
          <w:color w:val="000000"/>
          <w:sz w:val="22"/>
          <w:szCs w:val="22"/>
        </w:rPr>
        <w:t>RePEc</w:t>
      </w:r>
      <w:proofErr w:type="spellEnd"/>
      <w:r w:rsidRPr="004075FA">
        <w:rPr>
          <w:color w:val="000000"/>
          <w:sz w:val="22"/>
          <w:szCs w:val="22"/>
        </w:rPr>
        <w:t xml:space="preserve">, </w:t>
      </w:r>
      <w:proofErr w:type="spellStart"/>
      <w:r w:rsidRPr="004075FA">
        <w:rPr>
          <w:color w:val="000000"/>
          <w:sz w:val="22"/>
          <w:szCs w:val="22"/>
        </w:rPr>
        <w:t>based</w:t>
      </w:r>
      <w:proofErr w:type="spellEnd"/>
      <w:r w:rsidRPr="004075FA">
        <w:rPr>
          <w:color w:val="000000"/>
          <w:sz w:val="22"/>
          <w:szCs w:val="22"/>
        </w:rPr>
        <w:t xml:space="preserve"> on a set of </w:t>
      </w:r>
      <w:proofErr w:type="spellStart"/>
      <w:r w:rsidRPr="004075FA">
        <w:rPr>
          <w:color w:val="000000"/>
          <w:sz w:val="22"/>
          <w:szCs w:val="22"/>
        </w:rPr>
        <w:t>predefined</w:t>
      </w:r>
      <w:proofErr w:type="spellEnd"/>
      <w:r w:rsidRPr="004075FA">
        <w:rPr>
          <w:color w:val="000000"/>
          <w:sz w:val="22"/>
          <w:szCs w:val="22"/>
        </w:rPr>
        <w:t xml:space="preserve"> </w:t>
      </w:r>
      <w:proofErr w:type="spellStart"/>
      <w:r w:rsidRPr="004075FA">
        <w:rPr>
          <w:color w:val="000000"/>
          <w:sz w:val="22"/>
          <w:szCs w:val="22"/>
        </w:rPr>
        <w:lastRenderedPageBreak/>
        <w:t>keywords</w:t>
      </w:r>
      <w:proofErr w:type="spellEnd"/>
      <w:r w:rsidRPr="004075FA">
        <w:rPr>
          <w:color w:val="000000"/>
          <w:sz w:val="22"/>
          <w:szCs w:val="22"/>
        </w:rPr>
        <w:t xml:space="preserve">, </w:t>
      </w:r>
      <w:proofErr w:type="spellStart"/>
      <w:r w:rsidRPr="004075FA">
        <w:rPr>
          <w:color w:val="000000"/>
          <w:sz w:val="22"/>
          <w:szCs w:val="22"/>
        </w:rPr>
        <w:t>including</w:t>
      </w:r>
      <w:proofErr w:type="spellEnd"/>
      <w:r w:rsidRPr="004075FA">
        <w:rPr>
          <w:color w:val="000000"/>
          <w:sz w:val="22"/>
          <w:szCs w:val="22"/>
        </w:rPr>
        <w:t xml:space="preserve"> public–private </w:t>
      </w:r>
      <w:proofErr w:type="spellStart"/>
      <w:r w:rsidRPr="004075FA">
        <w:rPr>
          <w:color w:val="000000"/>
          <w:sz w:val="22"/>
          <w:szCs w:val="22"/>
        </w:rPr>
        <w:t>partnership</w:t>
      </w:r>
      <w:proofErr w:type="spellEnd"/>
      <w:r w:rsidRPr="004075FA">
        <w:rPr>
          <w:color w:val="000000"/>
          <w:sz w:val="22"/>
          <w:szCs w:val="22"/>
        </w:rPr>
        <w:t xml:space="preserve">, </w:t>
      </w:r>
      <w:proofErr w:type="spellStart"/>
      <w:r w:rsidRPr="004075FA">
        <w:rPr>
          <w:color w:val="000000"/>
          <w:sz w:val="22"/>
          <w:szCs w:val="22"/>
        </w:rPr>
        <w:t>concessions</w:t>
      </w:r>
      <w:proofErr w:type="spellEnd"/>
      <w:r w:rsidRPr="004075FA">
        <w:rPr>
          <w:color w:val="000000"/>
          <w:sz w:val="22"/>
          <w:szCs w:val="22"/>
        </w:rPr>
        <w:t xml:space="preserve"> </w:t>
      </w:r>
      <w:proofErr w:type="spellStart"/>
      <w:r w:rsidRPr="004075FA">
        <w:rPr>
          <w:color w:val="000000"/>
          <w:sz w:val="22"/>
          <w:szCs w:val="22"/>
        </w:rPr>
        <w:t>and</w:t>
      </w:r>
      <w:proofErr w:type="spellEnd"/>
      <w:r w:rsidRPr="004075FA">
        <w:rPr>
          <w:color w:val="000000"/>
          <w:sz w:val="22"/>
          <w:szCs w:val="22"/>
        </w:rPr>
        <w:t xml:space="preserve"> economic </w:t>
      </w:r>
      <w:proofErr w:type="spellStart"/>
      <w:r w:rsidRPr="004075FA">
        <w:rPr>
          <w:color w:val="000000"/>
          <w:sz w:val="22"/>
          <w:szCs w:val="22"/>
        </w:rPr>
        <w:t>growth</w:t>
      </w:r>
      <w:proofErr w:type="spellEnd"/>
      <w:r w:rsidRPr="004075FA">
        <w:rPr>
          <w:color w:val="000000"/>
          <w:sz w:val="22"/>
          <w:szCs w:val="22"/>
        </w:rPr>
        <w:t xml:space="preserve">. In </w:t>
      </w:r>
      <w:proofErr w:type="spellStart"/>
      <w:r w:rsidRPr="004075FA">
        <w:rPr>
          <w:color w:val="000000"/>
          <w:sz w:val="22"/>
          <w:szCs w:val="22"/>
        </w:rPr>
        <w:t>addition</w:t>
      </w:r>
      <w:proofErr w:type="spellEnd"/>
      <w:r w:rsidRPr="004075FA">
        <w:rPr>
          <w:color w:val="000000"/>
          <w:sz w:val="22"/>
          <w:szCs w:val="22"/>
        </w:rPr>
        <w:t xml:space="preserve">, </w:t>
      </w:r>
      <w:proofErr w:type="spellStart"/>
      <w:r w:rsidRPr="004075FA">
        <w:rPr>
          <w:color w:val="000000"/>
          <w:sz w:val="22"/>
          <w:szCs w:val="22"/>
        </w:rPr>
        <w:t>the</w:t>
      </w:r>
      <w:proofErr w:type="spellEnd"/>
      <w:r w:rsidRPr="004075FA">
        <w:rPr>
          <w:color w:val="000000"/>
          <w:sz w:val="22"/>
          <w:szCs w:val="22"/>
        </w:rPr>
        <w:t xml:space="preserve"> </w:t>
      </w:r>
      <w:proofErr w:type="spellStart"/>
      <w:r w:rsidRPr="004075FA">
        <w:rPr>
          <w:color w:val="000000"/>
          <w:sz w:val="22"/>
          <w:szCs w:val="22"/>
        </w:rPr>
        <w:t>selection</w:t>
      </w:r>
      <w:proofErr w:type="spellEnd"/>
      <w:r w:rsidRPr="004075FA">
        <w:rPr>
          <w:color w:val="000000"/>
          <w:sz w:val="22"/>
          <w:szCs w:val="22"/>
        </w:rPr>
        <w:t xml:space="preserve"> </w:t>
      </w:r>
      <w:proofErr w:type="spellStart"/>
      <w:r w:rsidRPr="004075FA">
        <w:rPr>
          <w:color w:val="000000"/>
          <w:sz w:val="22"/>
          <w:szCs w:val="22"/>
        </w:rPr>
        <w:t>process</w:t>
      </w:r>
      <w:proofErr w:type="spellEnd"/>
      <w:r w:rsidRPr="004075FA">
        <w:rPr>
          <w:color w:val="000000"/>
          <w:sz w:val="22"/>
          <w:szCs w:val="22"/>
        </w:rPr>
        <w:t xml:space="preserve"> </w:t>
      </w:r>
      <w:proofErr w:type="spellStart"/>
      <w:r w:rsidRPr="004075FA">
        <w:rPr>
          <w:color w:val="000000"/>
          <w:sz w:val="22"/>
          <w:szCs w:val="22"/>
        </w:rPr>
        <w:t>accounted</w:t>
      </w:r>
      <w:proofErr w:type="spellEnd"/>
      <w:r w:rsidRPr="004075FA">
        <w:rPr>
          <w:color w:val="000000"/>
          <w:sz w:val="22"/>
          <w:szCs w:val="22"/>
        </w:rPr>
        <w:t xml:space="preserve"> for </w:t>
      </w:r>
      <w:proofErr w:type="spellStart"/>
      <w:r w:rsidRPr="004075FA">
        <w:rPr>
          <w:color w:val="000000"/>
          <w:sz w:val="22"/>
          <w:szCs w:val="22"/>
        </w:rPr>
        <w:t>citation</w:t>
      </w:r>
      <w:proofErr w:type="spellEnd"/>
      <w:r w:rsidRPr="004075FA">
        <w:rPr>
          <w:color w:val="000000"/>
          <w:sz w:val="22"/>
          <w:szCs w:val="22"/>
        </w:rPr>
        <w:t xml:space="preserve"> impact, </w:t>
      </w:r>
      <w:proofErr w:type="spellStart"/>
      <w:r w:rsidRPr="004075FA">
        <w:rPr>
          <w:color w:val="000000"/>
          <w:sz w:val="22"/>
          <w:szCs w:val="22"/>
        </w:rPr>
        <w:t>journal</w:t>
      </w:r>
      <w:proofErr w:type="spellEnd"/>
      <w:r w:rsidRPr="004075FA">
        <w:rPr>
          <w:color w:val="000000"/>
          <w:sz w:val="22"/>
          <w:szCs w:val="22"/>
        </w:rPr>
        <w:t xml:space="preserve"> </w:t>
      </w:r>
      <w:proofErr w:type="spellStart"/>
      <w:r w:rsidRPr="004075FA">
        <w:rPr>
          <w:color w:val="000000"/>
          <w:sz w:val="22"/>
          <w:szCs w:val="22"/>
        </w:rPr>
        <w:t>reputation</w:t>
      </w:r>
      <w:proofErr w:type="spellEnd"/>
      <w:r w:rsidRPr="004075FA">
        <w:rPr>
          <w:color w:val="000000"/>
          <w:sz w:val="22"/>
          <w:szCs w:val="22"/>
        </w:rPr>
        <w:t xml:space="preserve">, </w:t>
      </w:r>
      <w:proofErr w:type="spellStart"/>
      <w:r w:rsidRPr="004075FA">
        <w:rPr>
          <w:color w:val="000000"/>
          <w:sz w:val="22"/>
          <w:szCs w:val="22"/>
        </w:rPr>
        <w:t>and</w:t>
      </w:r>
      <w:proofErr w:type="spellEnd"/>
      <w:r w:rsidRPr="004075FA">
        <w:rPr>
          <w:color w:val="000000"/>
          <w:sz w:val="22"/>
          <w:szCs w:val="22"/>
        </w:rPr>
        <w:t xml:space="preserve"> </w:t>
      </w:r>
      <w:proofErr w:type="spellStart"/>
      <w:r w:rsidRPr="004075FA">
        <w:rPr>
          <w:color w:val="000000"/>
          <w:sz w:val="22"/>
          <w:szCs w:val="22"/>
        </w:rPr>
        <w:t>the</w:t>
      </w:r>
      <w:proofErr w:type="spellEnd"/>
      <w:r w:rsidRPr="004075FA">
        <w:rPr>
          <w:color w:val="000000"/>
          <w:sz w:val="22"/>
          <w:szCs w:val="22"/>
        </w:rPr>
        <w:t xml:space="preserve"> </w:t>
      </w:r>
      <w:proofErr w:type="spellStart"/>
      <w:r w:rsidRPr="004075FA">
        <w:rPr>
          <w:color w:val="000000"/>
          <w:sz w:val="22"/>
          <w:szCs w:val="22"/>
        </w:rPr>
        <w:t>overall</w:t>
      </w:r>
      <w:proofErr w:type="spellEnd"/>
      <w:r w:rsidRPr="004075FA">
        <w:rPr>
          <w:color w:val="000000"/>
          <w:sz w:val="22"/>
          <w:szCs w:val="22"/>
        </w:rPr>
        <w:t xml:space="preserve"> </w:t>
      </w:r>
      <w:proofErr w:type="spellStart"/>
      <w:r w:rsidRPr="004075FA">
        <w:rPr>
          <w:color w:val="000000"/>
          <w:sz w:val="22"/>
          <w:szCs w:val="22"/>
        </w:rPr>
        <w:t>scholarly</w:t>
      </w:r>
      <w:proofErr w:type="spellEnd"/>
      <w:r w:rsidRPr="004075FA">
        <w:rPr>
          <w:color w:val="000000"/>
          <w:sz w:val="22"/>
          <w:szCs w:val="22"/>
        </w:rPr>
        <w:t xml:space="preserve"> quality of </w:t>
      </w:r>
      <w:proofErr w:type="spellStart"/>
      <w:r w:rsidRPr="004075FA">
        <w:rPr>
          <w:color w:val="000000"/>
          <w:sz w:val="22"/>
          <w:szCs w:val="22"/>
        </w:rPr>
        <w:t>the</w:t>
      </w:r>
      <w:proofErr w:type="spellEnd"/>
      <w:r w:rsidRPr="004075FA">
        <w:rPr>
          <w:color w:val="000000"/>
          <w:sz w:val="22"/>
          <w:szCs w:val="22"/>
        </w:rPr>
        <w:t xml:space="preserve"> </w:t>
      </w:r>
      <w:proofErr w:type="spellStart"/>
      <w:r w:rsidRPr="004075FA">
        <w:rPr>
          <w:color w:val="000000"/>
          <w:sz w:val="22"/>
          <w:szCs w:val="22"/>
        </w:rPr>
        <w:t>publications</w:t>
      </w:r>
      <w:proofErr w:type="spellEnd"/>
      <w:r w:rsidRPr="004075FA">
        <w:rPr>
          <w:color w:val="000000"/>
          <w:sz w:val="22"/>
          <w:szCs w:val="22"/>
        </w:rPr>
        <w:t>.</w:t>
      </w:r>
      <w:r w:rsidR="00DB7F82">
        <w:rPr>
          <w:color w:val="000000"/>
          <w:sz w:val="22"/>
          <w:szCs w:val="22"/>
        </w:rPr>
        <w:t xml:space="preserve"> </w:t>
      </w:r>
      <w:r w:rsidR="00DB7F82" w:rsidRPr="00DB7F82">
        <w:rPr>
          <w:color w:val="000000"/>
          <w:sz w:val="22"/>
          <w:szCs w:val="22"/>
        </w:rPr>
        <w:t xml:space="preserve">The </w:t>
      </w:r>
      <w:proofErr w:type="spellStart"/>
      <w:r w:rsidR="00DB7F82" w:rsidRPr="00DB7F82">
        <w:rPr>
          <w:color w:val="000000"/>
          <w:sz w:val="22"/>
          <w:szCs w:val="22"/>
        </w:rPr>
        <w:t>study</w:t>
      </w:r>
      <w:proofErr w:type="spellEnd"/>
      <w:r w:rsidR="00DB7F82" w:rsidRPr="00DB7F82">
        <w:rPr>
          <w:color w:val="000000"/>
          <w:sz w:val="22"/>
          <w:szCs w:val="22"/>
        </w:rPr>
        <w:t xml:space="preserve"> </w:t>
      </w:r>
      <w:proofErr w:type="spellStart"/>
      <w:r w:rsidR="00DB7F82" w:rsidRPr="00DB7F82">
        <w:rPr>
          <w:color w:val="000000"/>
          <w:sz w:val="22"/>
          <w:szCs w:val="22"/>
        </w:rPr>
        <w:t>is</w:t>
      </w:r>
      <w:proofErr w:type="spellEnd"/>
      <w:r w:rsidR="00DB7F82" w:rsidRPr="00DB7F82">
        <w:rPr>
          <w:color w:val="000000"/>
          <w:sz w:val="22"/>
          <w:szCs w:val="22"/>
        </w:rPr>
        <w:t xml:space="preserve"> limited </w:t>
      </w:r>
      <w:proofErr w:type="spellStart"/>
      <w:r w:rsidR="00DB7F82" w:rsidRPr="00DB7F82">
        <w:rPr>
          <w:color w:val="000000"/>
          <w:sz w:val="22"/>
          <w:szCs w:val="22"/>
        </w:rPr>
        <w:t>by</w:t>
      </w:r>
      <w:proofErr w:type="spellEnd"/>
      <w:r w:rsidR="00DB7F82" w:rsidRPr="00DB7F82">
        <w:rPr>
          <w:color w:val="000000"/>
          <w:sz w:val="22"/>
          <w:szCs w:val="22"/>
        </w:rPr>
        <w:t xml:space="preserve"> </w:t>
      </w:r>
      <w:proofErr w:type="spellStart"/>
      <w:r w:rsidR="00DB7F82" w:rsidRPr="00DB7F82">
        <w:rPr>
          <w:color w:val="000000"/>
          <w:sz w:val="22"/>
          <w:szCs w:val="22"/>
        </w:rPr>
        <w:t>its</w:t>
      </w:r>
      <w:proofErr w:type="spellEnd"/>
      <w:r w:rsidR="00DB7F82" w:rsidRPr="00DB7F82">
        <w:rPr>
          <w:color w:val="000000"/>
          <w:sz w:val="22"/>
          <w:szCs w:val="22"/>
        </w:rPr>
        <w:t xml:space="preserve"> </w:t>
      </w:r>
      <w:proofErr w:type="spellStart"/>
      <w:r w:rsidR="00DB7F82" w:rsidRPr="00DB7F82">
        <w:rPr>
          <w:color w:val="000000"/>
          <w:sz w:val="22"/>
          <w:szCs w:val="22"/>
        </w:rPr>
        <w:t>reliance</w:t>
      </w:r>
      <w:proofErr w:type="spellEnd"/>
      <w:r w:rsidR="00DB7F82" w:rsidRPr="00DB7F82">
        <w:rPr>
          <w:color w:val="000000"/>
          <w:sz w:val="22"/>
          <w:szCs w:val="22"/>
        </w:rPr>
        <w:t xml:space="preserve"> on </w:t>
      </w:r>
      <w:proofErr w:type="spellStart"/>
      <w:r w:rsidR="00DB7F82" w:rsidRPr="00DB7F82">
        <w:rPr>
          <w:color w:val="000000"/>
          <w:sz w:val="22"/>
          <w:szCs w:val="22"/>
        </w:rPr>
        <w:t>secondary</w:t>
      </w:r>
      <w:proofErr w:type="spellEnd"/>
      <w:r w:rsidR="00DB7F82" w:rsidRPr="00DB7F82">
        <w:rPr>
          <w:color w:val="000000"/>
          <w:sz w:val="22"/>
          <w:szCs w:val="22"/>
        </w:rPr>
        <w:t xml:space="preserve"> data </w:t>
      </w:r>
      <w:proofErr w:type="spellStart"/>
      <w:r w:rsidR="00DB7F82" w:rsidRPr="00DB7F82">
        <w:rPr>
          <w:color w:val="000000"/>
          <w:sz w:val="22"/>
          <w:szCs w:val="22"/>
        </w:rPr>
        <w:t>and</w:t>
      </w:r>
      <w:proofErr w:type="spellEnd"/>
      <w:r w:rsidR="00DB7F82" w:rsidRPr="00DB7F82">
        <w:rPr>
          <w:color w:val="000000"/>
          <w:sz w:val="22"/>
          <w:szCs w:val="22"/>
        </w:rPr>
        <w:t xml:space="preserve"> </w:t>
      </w:r>
      <w:proofErr w:type="spellStart"/>
      <w:r w:rsidR="00DB7F82" w:rsidRPr="00DB7F82">
        <w:rPr>
          <w:color w:val="000000"/>
          <w:sz w:val="22"/>
          <w:szCs w:val="22"/>
        </w:rPr>
        <w:t>qualitative</w:t>
      </w:r>
      <w:proofErr w:type="spellEnd"/>
      <w:r w:rsidR="00DB7F82" w:rsidRPr="00DB7F82">
        <w:rPr>
          <w:color w:val="000000"/>
          <w:sz w:val="22"/>
          <w:szCs w:val="22"/>
        </w:rPr>
        <w:t xml:space="preserve"> </w:t>
      </w:r>
      <w:proofErr w:type="spellStart"/>
      <w:r w:rsidR="00DB7F82" w:rsidRPr="00DB7F82">
        <w:rPr>
          <w:color w:val="000000"/>
          <w:sz w:val="22"/>
          <w:szCs w:val="22"/>
        </w:rPr>
        <w:t>interpretation</w:t>
      </w:r>
      <w:proofErr w:type="spellEnd"/>
      <w:r w:rsidR="00DB7F82" w:rsidRPr="00DB7F82">
        <w:rPr>
          <w:color w:val="000000"/>
          <w:sz w:val="22"/>
          <w:szCs w:val="22"/>
        </w:rPr>
        <w:t>.</w:t>
      </w:r>
    </w:p>
    <w:p w14:paraId="19D4A04E" w14:textId="3438C5A7" w:rsidR="00064F4D" w:rsidRPr="00064F4D" w:rsidRDefault="00064F4D" w:rsidP="00815EFD">
      <w:pPr>
        <w:spacing w:before="0" w:beforeAutospacing="0" w:after="0" w:afterAutospacing="0" w:line="240" w:lineRule="auto"/>
        <w:ind w:left="142" w:right="57"/>
        <w:jc w:val="both"/>
        <w:rPr>
          <w:color w:val="000000"/>
          <w:sz w:val="18"/>
          <w:szCs w:val="18"/>
        </w:rPr>
      </w:pPr>
      <w:proofErr w:type="spellStart"/>
      <w:r w:rsidRPr="00064F4D">
        <w:rPr>
          <w:sz w:val="22"/>
          <w:szCs w:val="22"/>
        </w:rPr>
        <w:t>This</w:t>
      </w:r>
      <w:proofErr w:type="spellEnd"/>
      <w:r w:rsidRPr="00064F4D">
        <w:rPr>
          <w:sz w:val="22"/>
          <w:szCs w:val="22"/>
        </w:rPr>
        <w:t xml:space="preserve"> </w:t>
      </w:r>
      <w:proofErr w:type="spellStart"/>
      <w:r w:rsidRPr="00064F4D">
        <w:rPr>
          <w:sz w:val="22"/>
          <w:szCs w:val="22"/>
        </w:rPr>
        <w:t>methodological</w:t>
      </w:r>
      <w:proofErr w:type="spellEnd"/>
      <w:r w:rsidRPr="00064F4D">
        <w:rPr>
          <w:sz w:val="22"/>
          <w:szCs w:val="22"/>
        </w:rPr>
        <w:t xml:space="preserve"> </w:t>
      </w:r>
      <w:proofErr w:type="spellStart"/>
      <w:r w:rsidRPr="00064F4D">
        <w:rPr>
          <w:sz w:val="22"/>
          <w:szCs w:val="22"/>
        </w:rPr>
        <w:t>approach</w:t>
      </w:r>
      <w:proofErr w:type="spellEnd"/>
      <w:r w:rsidRPr="00064F4D">
        <w:rPr>
          <w:sz w:val="22"/>
          <w:szCs w:val="22"/>
        </w:rPr>
        <w:t xml:space="preserve"> </w:t>
      </w:r>
      <w:proofErr w:type="spellStart"/>
      <w:r w:rsidRPr="00064F4D">
        <w:rPr>
          <w:sz w:val="22"/>
          <w:szCs w:val="22"/>
        </w:rPr>
        <w:t>allows</w:t>
      </w:r>
      <w:proofErr w:type="spellEnd"/>
      <w:r w:rsidRPr="00064F4D">
        <w:rPr>
          <w:sz w:val="22"/>
          <w:szCs w:val="22"/>
        </w:rPr>
        <w:t xml:space="preserve"> for a comparative </w:t>
      </w:r>
      <w:proofErr w:type="spellStart"/>
      <w:r w:rsidRPr="00064F4D">
        <w:rPr>
          <w:sz w:val="22"/>
          <w:szCs w:val="22"/>
        </w:rPr>
        <w:t>and</w:t>
      </w:r>
      <w:proofErr w:type="spellEnd"/>
      <w:r w:rsidRPr="00064F4D">
        <w:rPr>
          <w:sz w:val="22"/>
          <w:szCs w:val="22"/>
        </w:rPr>
        <w:t xml:space="preserve"> interpretative </w:t>
      </w:r>
      <w:proofErr w:type="spellStart"/>
      <w:r w:rsidRPr="00064F4D">
        <w:rPr>
          <w:sz w:val="22"/>
          <w:szCs w:val="22"/>
        </w:rPr>
        <w:t>assessment</w:t>
      </w:r>
      <w:proofErr w:type="spellEnd"/>
      <w:r w:rsidRPr="00064F4D">
        <w:rPr>
          <w:sz w:val="22"/>
          <w:szCs w:val="22"/>
        </w:rPr>
        <w:t xml:space="preserve"> of </w:t>
      </w:r>
      <w:proofErr w:type="spellStart"/>
      <w:r w:rsidRPr="00064F4D">
        <w:rPr>
          <w:sz w:val="22"/>
          <w:szCs w:val="22"/>
        </w:rPr>
        <w:t>governance</w:t>
      </w:r>
      <w:proofErr w:type="spellEnd"/>
      <w:r w:rsidRPr="00064F4D">
        <w:rPr>
          <w:sz w:val="22"/>
          <w:szCs w:val="22"/>
        </w:rPr>
        <w:t xml:space="preserve"> </w:t>
      </w:r>
      <w:proofErr w:type="spellStart"/>
      <w:r w:rsidRPr="00064F4D">
        <w:rPr>
          <w:sz w:val="22"/>
          <w:szCs w:val="22"/>
        </w:rPr>
        <w:t>arrangements</w:t>
      </w:r>
      <w:proofErr w:type="spellEnd"/>
      <w:r w:rsidRPr="00064F4D">
        <w:rPr>
          <w:sz w:val="22"/>
          <w:szCs w:val="22"/>
        </w:rPr>
        <w:t xml:space="preserve"> in </w:t>
      </w:r>
      <w:proofErr w:type="spellStart"/>
      <w:r w:rsidRPr="00064F4D">
        <w:rPr>
          <w:sz w:val="22"/>
          <w:szCs w:val="22"/>
        </w:rPr>
        <w:t>the</w:t>
      </w:r>
      <w:proofErr w:type="spellEnd"/>
      <w:r w:rsidRPr="00064F4D">
        <w:rPr>
          <w:sz w:val="22"/>
          <w:szCs w:val="22"/>
        </w:rPr>
        <w:t xml:space="preserve"> European public–private </w:t>
      </w:r>
      <w:proofErr w:type="spellStart"/>
      <w:r w:rsidRPr="00064F4D">
        <w:rPr>
          <w:sz w:val="22"/>
          <w:szCs w:val="22"/>
        </w:rPr>
        <w:t>collaboration</w:t>
      </w:r>
      <w:proofErr w:type="spellEnd"/>
      <w:r w:rsidRPr="00064F4D">
        <w:rPr>
          <w:sz w:val="22"/>
          <w:szCs w:val="22"/>
        </w:rPr>
        <w:t xml:space="preserve"> </w:t>
      </w:r>
      <w:proofErr w:type="spellStart"/>
      <w:r w:rsidRPr="00064F4D">
        <w:rPr>
          <w:sz w:val="22"/>
          <w:szCs w:val="22"/>
        </w:rPr>
        <w:t>framework</w:t>
      </w:r>
      <w:proofErr w:type="spellEnd"/>
      <w:r w:rsidRPr="00064F4D">
        <w:rPr>
          <w:sz w:val="22"/>
          <w:szCs w:val="22"/>
        </w:rPr>
        <w:t>.</w:t>
      </w:r>
    </w:p>
    <w:p w14:paraId="0CD26219" w14:textId="13AF07F5" w:rsidR="004075FA" w:rsidRPr="00190898" w:rsidRDefault="004075FA" w:rsidP="004075FA">
      <w:pPr>
        <w:pStyle w:val="NormalWeb"/>
        <w:numPr>
          <w:ilvl w:val="0"/>
          <w:numId w:val="4"/>
        </w:numPr>
        <w:spacing w:after="0" w:afterAutospacing="0"/>
        <w:ind w:left="142" w:right="57" w:firstLine="0"/>
        <w:jc w:val="both"/>
        <w:rPr>
          <w:b/>
          <w:bCs/>
          <w:color w:val="000000"/>
          <w:sz w:val="22"/>
          <w:szCs w:val="22"/>
          <w:lang w:val="ro-RO"/>
        </w:rPr>
      </w:pPr>
      <w:proofErr w:type="spellStart"/>
      <w:r w:rsidRPr="00190898">
        <w:rPr>
          <w:b/>
          <w:bCs/>
          <w:color w:val="000000"/>
          <w:sz w:val="22"/>
          <w:szCs w:val="22"/>
          <w:lang w:val="ro-RO"/>
        </w:rPr>
        <w:t>Findings</w:t>
      </w:r>
      <w:proofErr w:type="spellEnd"/>
      <w:r w:rsidRPr="00190898">
        <w:rPr>
          <w:b/>
          <w:bCs/>
          <w:color w:val="000000"/>
          <w:sz w:val="22"/>
          <w:szCs w:val="22"/>
          <w:lang w:val="ro-RO"/>
        </w:rPr>
        <w:t xml:space="preserve"> </w:t>
      </w:r>
    </w:p>
    <w:p w14:paraId="20F86A7D" w14:textId="5183DEC1" w:rsidR="004075FA" w:rsidRPr="004075FA" w:rsidRDefault="004075FA" w:rsidP="004075FA">
      <w:pPr>
        <w:pStyle w:val="NormalWeb"/>
        <w:spacing w:after="0" w:afterAutospacing="0"/>
        <w:ind w:left="142" w:right="57"/>
        <w:jc w:val="both"/>
        <w:rPr>
          <w:color w:val="000000"/>
          <w:sz w:val="22"/>
          <w:szCs w:val="22"/>
          <w:lang w:val="en-US"/>
        </w:rPr>
      </w:pPr>
      <w:r w:rsidRPr="004075FA">
        <w:rPr>
          <w:color w:val="000000"/>
          <w:sz w:val="22"/>
          <w:szCs w:val="22"/>
        </w:rPr>
        <w:t>The comparative framework presented in Table 1 constitutes one of the key findings of this study, highlighting how the allocation of risk and remuneration mechanisms fundamentally differentiates concessions from PPPs in competition-for-the-market settings.</w:t>
      </w:r>
    </w:p>
    <w:p w14:paraId="11937225" w14:textId="16B10ACF" w:rsidR="004075FA" w:rsidRPr="00815EFD" w:rsidRDefault="004075FA" w:rsidP="004075FA">
      <w:pPr>
        <w:pStyle w:val="NormalWeb"/>
        <w:spacing w:after="0" w:afterAutospacing="0"/>
        <w:ind w:left="142" w:right="57"/>
        <w:jc w:val="both"/>
        <w:rPr>
          <w:i/>
          <w:iCs/>
          <w:color w:val="000000"/>
          <w:sz w:val="22"/>
          <w:szCs w:val="22"/>
          <w:lang w:val="ro-RO"/>
        </w:rPr>
      </w:pPr>
      <w:r w:rsidRPr="00815EFD">
        <w:rPr>
          <w:i/>
          <w:iCs/>
          <w:color w:val="000000"/>
          <w:sz w:val="22"/>
          <w:szCs w:val="22"/>
          <w:lang w:val="ro-RO"/>
        </w:rPr>
        <w:t xml:space="preserve">Table 1. </w:t>
      </w:r>
      <w:r w:rsidRPr="00815EFD">
        <w:rPr>
          <w:i/>
          <w:iCs/>
          <w:color w:val="000000"/>
          <w:sz w:val="22"/>
          <w:szCs w:val="22"/>
        </w:rPr>
        <w:t>Comparative analysis of Concessions and Public-Private</w:t>
      </w:r>
      <w:r w:rsidRPr="00815EFD">
        <w:rPr>
          <w:i/>
          <w:iCs/>
          <w:color w:val="000000"/>
          <w:sz w:val="22"/>
          <w:szCs w:val="22"/>
          <w:lang w:val="en-US"/>
        </w:rPr>
        <w:t xml:space="preserve"> </w:t>
      </w:r>
      <w:r w:rsidRPr="00815EFD">
        <w:rPr>
          <w:i/>
          <w:iCs/>
          <w:color w:val="000000"/>
          <w:sz w:val="22"/>
          <w:szCs w:val="22"/>
        </w:rPr>
        <w:t>Partnerships (PPPs)</w:t>
      </w:r>
    </w:p>
    <w:tbl>
      <w:tblPr>
        <w:tblStyle w:val="TableGrid"/>
        <w:tblW w:w="6237" w:type="dxa"/>
        <w:tblInd w:w="137" w:type="dxa"/>
        <w:tblLook w:val="04A0" w:firstRow="1" w:lastRow="0" w:firstColumn="1" w:lastColumn="0" w:noHBand="0" w:noVBand="1"/>
      </w:tblPr>
      <w:tblGrid>
        <w:gridCol w:w="1411"/>
        <w:gridCol w:w="2483"/>
        <w:gridCol w:w="2418"/>
      </w:tblGrid>
      <w:tr w:rsidR="00815EFD" w:rsidRPr="004075FA" w14:paraId="5F4818E5" w14:textId="77777777" w:rsidTr="00F537F7">
        <w:tc>
          <w:tcPr>
            <w:tcW w:w="1701" w:type="dxa"/>
          </w:tcPr>
          <w:p w14:paraId="3139005B" w14:textId="41D29DCE" w:rsidR="004075FA" w:rsidRPr="004075FA" w:rsidRDefault="004075FA" w:rsidP="004075FA">
            <w:pPr>
              <w:pStyle w:val="NormalWeb"/>
              <w:spacing w:before="0" w:beforeAutospacing="0" w:after="0" w:afterAutospacing="0"/>
              <w:ind w:left="142" w:right="57"/>
              <w:jc w:val="both"/>
              <w:rPr>
                <w:color w:val="000000"/>
                <w:sz w:val="22"/>
                <w:szCs w:val="22"/>
                <w:lang w:val="ro-RO"/>
              </w:rPr>
            </w:pPr>
            <w:r w:rsidRPr="004075FA">
              <w:rPr>
                <w:color w:val="000000"/>
                <w:sz w:val="22"/>
                <w:szCs w:val="22"/>
                <w:lang w:val="ro-RO"/>
              </w:rPr>
              <w:t>Aspect</w:t>
            </w:r>
          </w:p>
        </w:tc>
        <w:tc>
          <w:tcPr>
            <w:tcW w:w="2483" w:type="dxa"/>
          </w:tcPr>
          <w:p w14:paraId="72CF82D0" w14:textId="39BDCB96" w:rsidR="004075FA" w:rsidRPr="004075FA" w:rsidRDefault="004075FA" w:rsidP="004075FA">
            <w:pPr>
              <w:pStyle w:val="NormalWeb"/>
              <w:spacing w:before="0" w:beforeAutospacing="0" w:after="0" w:afterAutospacing="0"/>
              <w:ind w:left="142" w:right="57"/>
              <w:jc w:val="both"/>
              <w:rPr>
                <w:color w:val="000000"/>
                <w:sz w:val="22"/>
                <w:szCs w:val="22"/>
                <w:lang w:val="ro-RO"/>
              </w:rPr>
            </w:pPr>
            <w:proofErr w:type="spellStart"/>
            <w:r w:rsidRPr="004075FA">
              <w:rPr>
                <w:color w:val="000000"/>
                <w:sz w:val="22"/>
                <w:szCs w:val="22"/>
                <w:lang w:val="ro-RO"/>
              </w:rPr>
              <w:t>Concessions</w:t>
            </w:r>
            <w:proofErr w:type="spellEnd"/>
          </w:p>
        </w:tc>
        <w:tc>
          <w:tcPr>
            <w:tcW w:w="2053" w:type="dxa"/>
          </w:tcPr>
          <w:p w14:paraId="1DDA6B03" w14:textId="2842A16C" w:rsidR="004075FA" w:rsidRPr="004075FA" w:rsidRDefault="004075FA" w:rsidP="004075FA">
            <w:pPr>
              <w:pStyle w:val="NormalWeb"/>
              <w:spacing w:before="0" w:beforeAutospacing="0" w:after="0" w:afterAutospacing="0"/>
              <w:ind w:left="142" w:right="57"/>
              <w:jc w:val="both"/>
              <w:rPr>
                <w:color w:val="000000"/>
                <w:sz w:val="22"/>
                <w:szCs w:val="22"/>
                <w:lang w:val="ro-RO"/>
              </w:rPr>
            </w:pPr>
            <w:proofErr w:type="spellStart"/>
            <w:r w:rsidRPr="004075FA">
              <w:rPr>
                <w:color w:val="000000"/>
                <w:sz w:val="22"/>
                <w:szCs w:val="22"/>
                <w:lang w:val="ro-RO"/>
              </w:rPr>
              <w:t>PPPs</w:t>
            </w:r>
            <w:proofErr w:type="spellEnd"/>
          </w:p>
        </w:tc>
      </w:tr>
      <w:tr w:rsidR="00815EFD" w:rsidRPr="004075FA" w14:paraId="251A1E3A" w14:textId="77777777" w:rsidTr="00F537F7">
        <w:tc>
          <w:tcPr>
            <w:tcW w:w="170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2"/>
            </w:tblGrid>
            <w:tr w:rsidR="004075FA" w:rsidRPr="004075FA" w14:paraId="1FF0199D" w14:textId="77777777" w:rsidTr="00815EFD">
              <w:trPr>
                <w:tblCellSpacing w:w="15" w:type="dxa"/>
              </w:trPr>
              <w:tc>
                <w:tcPr>
                  <w:tcW w:w="912" w:type="dxa"/>
                  <w:vAlign w:val="center"/>
                  <w:hideMark/>
                </w:tcPr>
                <w:p w14:paraId="1D74ABD0" w14:textId="54868568" w:rsidR="004075FA" w:rsidRPr="004075FA" w:rsidRDefault="004075FA" w:rsidP="00815EFD">
                  <w:pPr>
                    <w:tabs>
                      <w:tab w:val="left" w:pos="875"/>
                    </w:tabs>
                    <w:spacing w:before="0" w:beforeAutospacing="0" w:after="0" w:afterAutospacing="0" w:line="240" w:lineRule="auto"/>
                    <w:ind w:right="57"/>
                    <w:rPr>
                      <w:color w:val="000000"/>
                      <w:sz w:val="22"/>
                      <w:szCs w:val="22"/>
                      <w:lang w:val="en-RO" w:eastAsia="en-US"/>
                    </w:rPr>
                  </w:pPr>
                </w:p>
              </w:tc>
            </w:tr>
          </w:tbl>
          <w:p w14:paraId="591367B6" w14:textId="3865F74A" w:rsidR="004075FA" w:rsidRPr="004075FA" w:rsidRDefault="00815EFD" w:rsidP="00CE528D">
            <w:pPr>
              <w:spacing w:before="0" w:beforeAutospacing="0" w:after="0" w:afterAutospacing="0"/>
              <w:ind w:left="142" w:right="57"/>
              <w:rPr>
                <w:vanish/>
                <w:sz w:val="22"/>
                <w:szCs w:val="22"/>
              </w:rPr>
            </w:pPr>
            <w:proofErr w:type="spellStart"/>
            <w:r>
              <w:rPr>
                <w:sz w:val="22"/>
                <w:szCs w:val="22"/>
              </w:rPr>
              <w:t>D</w:t>
            </w:r>
            <w:r>
              <w:t>efinition</w:t>
            </w:r>
            <w:proofErr w:type="spellEnd"/>
          </w:p>
          <w:p w14:paraId="7FEE52A6" w14:textId="77777777" w:rsidR="004075FA" w:rsidRPr="004075FA" w:rsidRDefault="004075FA" w:rsidP="00CE528D">
            <w:pPr>
              <w:spacing w:before="0" w:beforeAutospacing="0" w:after="0" w:afterAutospacing="0"/>
              <w:ind w:left="142" w:right="57"/>
              <w:rPr>
                <w:vanish/>
                <w:sz w:val="22"/>
                <w:szCs w:val="22"/>
              </w:rPr>
            </w:pPr>
          </w:p>
          <w:p w14:paraId="6BEFFBFB" w14:textId="77777777" w:rsidR="004075FA" w:rsidRPr="004075FA" w:rsidRDefault="004075FA" w:rsidP="00815EFD">
            <w:pPr>
              <w:pStyle w:val="NormalWeb"/>
              <w:spacing w:before="0" w:beforeAutospacing="0" w:after="0" w:afterAutospacing="0"/>
              <w:ind w:right="57"/>
              <w:rPr>
                <w:color w:val="000000"/>
                <w:sz w:val="22"/>
                <w:szCs w:val="22"/>
                <w:lang w:val="ro-RO"/>
              </w:rPr>
            </w:pPr>
          </w:p>
        </w:tc>
        <w:tc>
          <w:tcPr>
            <w:tcW w:w="2483" w:type="dxa"/>
          </w:tcPr>
          <w:p w14:paraId="4B792FD2" w14:textId="77777777" w:rsidR="004075FA" w:rsidRPr="004075FA" w:rsidRDefault="004075FA" w:rsidP="00815EFD">
            <w:pPr>
              <w:spacing w:before="0" w:beforeAutospacing="0" w:after="0" w:afterAutospacing="0"/>
              <w:ind w:left="142" w:right="57"/>
              <w:rPr>
                <w:color w:val="000000"/>
                <w:sz w:val="22"/>
                <w:szCs w:val="22"/>
              </w:rPr>
            </w:pPr>
            <w:r w:rsidRPr="004075FA">
              <w:rPr>
                <w:color w:val="000000"/>
                <w:sz w:val="22"/>
                <w:szCs w:val="22"/>
              </w:rPr>
              <w:t xml:space="preserve">A contractual </w:t>
            </w:r>
            <w:proofErr w:type="spellStart"/>
            <w:r w:rsidRPr="004075FA">
              <w:rPr>
                <w:color w:val="000000"/>
                <w:sz w:val="22"/>
                <w:szCs w:val="22"/>
              </w:rPr>
              <w:t>arrangement</w:t>
            </w:r>
            <w:proofErr w:type="spellEnd"/>
            <w:r w:rsidRPr="004075FA">
              <w:rPr>
                <w:color w:val="000000"/>
                <w:sz w:val="22"/>
                <w:szCs w:val="22"/>
              </w:rPr>
              <w:t xml:space="preserve"> </w:t>
            </w:r>
            <w:proofErr w:type="spellStart"/>
            <w:r w:rsidRPr="004075FA">
              <w:rPr>
                <w:color w:val="000000"/>
                <w:sz w:val="22"/>
                <w:szCs w:val="22"/>
              </w:rPr>
              <w:t>where</w:t>
            </w:r>
            <w:proofErr w:type="spellEnd"/>
            <w:r w:rsidRPr="004075FA">
              <w:rPr>
                <w:color w:val="000000"/>
                <w:sz w:val="22"/>
                <w:szCs w:val="22"/>
              </w:rPr>
              <w:t xml:space="preserve"> </w:t>
            </w:r>
            <w:proofErr w:type="spellStart"/>
            <w:r w:rsidRPr="004075FA">
              <w:rPr>
                <w:color w:val="000000"/>
                <w:sz w:val="22"/>
                <w:szCs w:val="22"/>
              </w:rPr>
              <w:t>the</w:t>
            </w:r>
            <w:proofErr w:type="spellEnd"/>
            <w:r w:rsidRPr="004075FA">
              <w:rPr>
                <w:color w:val="000000"/>
                <w:sz w:val="22"/>
                <w:szCs w:val="22"/>
              </w:rPr>
              <w:t xml:space="preserve"> </w:t>
            </w:r>
            <w:proofErr w:type="spellStart"/>
            <w:r w:rsidRPr="004075FA">
              <w:rPr>
                <w:color w:val="000000"/>
                <w:sz w:val="22"/>
                <w:szCs w:val="22"/>
              </w:rPr>
              <w:t>government</w:t>
            </w:r>
            <w:proofErr w:type="spellEnd"/>
            <w:r w:rsidRPr="004075FA">
              <w:rPr>
                <w:rStyle w:val="apple-converted-space"/>
                <w:rFonts w:eastAsiaTheme="majorEastAsia"/>
                <w:color w:val="000000"/>
                <w:sz w:val="22"/>
                <w:szCs w:val="22"/>
              </w:rPr>
              <w:t> </w:t>
            </w:r>
            <w:proofErr w:type="spellStart"/>
            <w:r w:rsidRPr="004075FA">
              <w:rPr>
                <w:rStyle w:val="Strong"/>
                <w:b w:val="0"/>
                <w:bCs w:val="0"/>
                <w:color w:val="000000"/>
                <w:sz w:val="22"/>
                <w:szCs w:val="22"/>
              </w:rPr>
              <w:t>grants</w:t>
            </w:r>
            <w:proofErr w:type="spellEnd"/>
            <w:r w:rsidRPr="004075FA">
              <w:rPr>
                <w:rStyle w:val="Strong"/>
                <w:b w:val="0"/>
                <w:bCs w:val="0"/>
                <w:color w:val="000000"/>
                <w:sz w:val="22"/>
                <w:szCs w:val="22"/>
              </w:rPr>
              <w:t xml:space="preserve"> a private party </w:t>
            </w:r>
            <w:proofErr w:type="spellStart"/>
            <w:r w:rsidRPr="004075FA">
              <w:rPr>
                <w:rStyle w:val="Strong"/>
                <w:b w:val="0"/>
                <w:bCs w:val="0"/>
                <w:color w:val="000000"/>
                <w:sz w:val="22"/>
                <w:szCs w:val="22"/>
              </w:rPr>
              <w:t>the</w:t>
            </w:r>
            <w:proofErr w:type="spellEnd"/>
            <w:r w:rsidRPr="004075FA">
              <w:rPr>
                <w:rStyle w:val="Strong"/>
                <w:b w:val="0"/>
                <w:bCs w:val="0"/>
                <w:color w:val="000000"/>
                <w:sz w:val="22"/>
                <w:szCs w:val="22"/>
              </w:rPr>
              <w:t xml:space="preserve"> </w:t>
            </w:r>
            <w:proofErr w:type="spellStart"/>
            <w:r w:rsidRPr="004075FA">
              <w:rPr>
                <w:rStyle w:val="Strong"/>
                <w:b w:val="0"/>
                <w:bCs w:val="0"/>
                <w:color w:val="000000"/>
                <w:sz w:val="22"/>
                <w:szCs w:val="22"/>
              </w:rPr>
              <w:t>right</w:t>
            </w:r>
            <w:proofErr w:type="spellEnd"/>
            <w:r w:rsidRPr="004075FA">
              <w:rPr>
                <w:rStyle w:val="Strong"/>
                <w:b w:val="0"/>
                <w:bCs w:val="0"/>
                <w:color w:val="000000"/>
                <w:sz w:val="22"/>
                <w:szCs w:val="22"/>
              </w:rPr>
              <w:t xml:space="preserve"> </w:t>
            </w:r>
            <w:proofErr w:type="spellStart"/>
            <w:r w:rsidRPr="004075FA">
              <w:rPr>
                <w:rStyle w:val="Strong"/>
                <w:b w:val="0"/>
                <w:bCs w:val="0"/>
                <w:color w:val="000000"/>
                <w:sz w:val="22"/>
                <w:szCs w:val="22"/>
              </w:rPr>
              <w:t>to</w:t>
            </w:r>
            <w:proofErr w:type="spellEnd"/>
            <w:r w:rsidRPr="004075FA">
              <w:rPr>
                <w:rStyle w:val="Strong"/>
                <w:b w:val="0"/>
                <w:bCs w:val="0"/>
                <w:color w:val="000000"/>
                <w:sz w:val="22"/>
                <w:szCs w:val="22"/>
              </w:rPr>
              <w:t xml:space="preserve"> </w:t>
            </w:r>
            <w:proofErr w:type="spellStart"/>
            <w:r w:rsidRPr="004075FA">
              <w:rPr>
                <w:rStyle w:val="Strong"/>
                <w:b w:val="0"/>
                <w:bCs w:val="0"/>
                <w:color w:val="000000"/>
                <w:sz w:val="22"/>
                <w:szCs w:val="22"/>
              </w:rPr>
              <w:t>provide</w:t>
            </w:r>
            <w:proofErr w:type="spellEnd"/>
            <w:r w:rsidRPr="004075FA">
              <w:rPr>
                <w:rStyle w:val="Strong"/>
                <w:b w:val="0"/>
                <w:bCs w:val="0"/>
                <w:color w:val="000000"/>
                <w:sz w:val="22"/>
                <w:szCs w:val="22"/>
              </w:rPr>
              <w:t xml:space="preserve"> </w:t>
            </w:r>
            <w:proofErr w:type="spellStart"/>
            <w:r w:rsidRPr="004075FA">
              <w:rPr>
                <w:rStyle w:val="Strong"/>
                <w:b w:val="0"/>
                <w:bCs w:val="0"/>
                <w:color w:val="000000"/>
                <w:sz w:val="22"/>
                <w:szCs w:val="22"/>
              </w:rPr>
              <w:t>and</w:t>
            </w:r>
            <w:proofErr w:type="spellEnd"/>
            <w:r w:rsidRPr="004075FA">
              <w:rPr>
                <w:rStyle w:val="Strong"/>
                <w:b w:val="0"/>
                <w:bCs w:val="0"/>
                <w:color w:val="000000"/>
                <w:sz w:val="22"/>
                <w:szCs w:val="22"/>
              </w:rPr>
              <w:t xml:space="preserve"> operate a public service or </w:t>
            </w:r>
            <w:proofErr w:type="spellStart"/>
            <w:r w:rsidRPr="004075FA">
              <w:rPr>
                <w:rStyle w:val="Strong"/>
                <w:b w:val="0"/>
                <w:bCs w:val="0"/>
                <w:color w:val="000000"/>
                <w:sz w:val="22"/>
                <w:szCs w:val="22"/>
              </w:rPr>
              <w:t>infrastructure</w:t>
            </w:r>
            <w:proofErr w:type="spellEnd"/>
            <w:r w:rsidRPr="004075FA">
              <w:rPr>
                <w:color w:val="000000"/>
                <w:sz w:val="22"/>
                <w:szCs w:val="22"/>
              </w:rPr>
              <w:t xml:space="preserve">, </w:t>
            </w:r>
            <w:proofErr w:type="spellStart"/>
            <w:r w:rsidRPr="004075FA">
              <w:rPr>
                <w:color w:val="000000"/>
                <w:sz w:val="22"/>
                <w:szCs w:val="22"/>
              </w:rPr>
              <w:t>and</w:t>
            </w:r>
            <w:proofErr w:type="spellEnd"/>
            <w:r w:rsidRPr="004075FA">
              <w:rPr>
                <w:color w:val="000000"/>
                <w:sz w:val="22"/>
                <w:szCs w:val="22"/>
              </w:rPr>
              <w:t xml:space="preserve"> </w:t>
            </w:r>
            <w:proofErr w:type="spellStart"/>
            <w:r w:rsidRPr="004075FA">
              <w:rPr>
                <w:color w:val="000000"/>
                <w:sz w:val="22"/>
                <w:szCs w:val="22"/>
              </w:rPr>
              <w:t>the</w:t>
            </w:r>
            <w:proofErr w:type="spellEnd"/>
            <w:r w:rsidRPr="004075FA">
              <w:rPr>
                <w:color w:val="000000"/>
                <w:sz w:val="22"/>
                <w:szCs w:val="22"/>
              </w:rPr>
              <w:t xml:space="preserve"> operator </w:t>
            </w:r>
            <w:proofErr w:type="spellStart"/>
            <w:r w:rsidRPr="004075FA">
              <w:rPr>
                <w:color w:val="000000"/>
                <w:sz w:val="22"/>
                <w:szCs w:val="22"/>
              </w:rPr>
              <w:t>is</w:t>
            </w:r>
            <w:proofErr w:type="spellEnd"/>
            <w:r w:rsidRPr="004075FA">
              <w:rPr>
                <w:rStyle w:val="apple-converted-space"/>
                <w:rFonts w:eastAsiaTheme="majorEastAsia"/>
                <w:color w:val="000000"/>
                <w:sz w:val="22"/>
                <w:szCs w:val="22"/>
              </w:rPr>
              <w:t> </w:t>
            </w:r>
            <w:proofErr w:type="spellStart"/>
            <w:r w:rsidRPr="004075FA">
              <w:rPr>
                <w:rStyle w:val="Strong"/>
                <w:b w:val="0"/>
                <w:bCs w:val="0"/>
                <w:color w:val="000000"/>
                <w:sz w:val="22"/>
                <w:szCs w:val="22"/>
              </w:rPr>
              <w:t>remunerated</w:t>
            </w:r>
            <w:proofErr w:type="spellEnd"/>
            <w:r w:rsidRPr="004075FA">
              <w:rPr>
                <w:rStyle w:val="Strong"/>
                <w:b w:val="0"/>
                <w:bCs w:val="0"/>
                <w:color w:val="000000"/>
                <w:sz w:val="22"/>
                <w:szCs w:val="22"/>
              </w:rPr>
              <w:t xml:space="preserve"> </w:t>
            </w:r>
            <w:proofErr w:type="spellStart"/>
            <w:r w:rsidRPr="004075FA">
              <w:rPr>
                <w:rStyle w:val="Strong"/>
                <w:b w:val="0"/>
                <w:bCs w:val="0"/>
                <w:color w:val="000000"/>
                <w:sz w:val="22"/>
                <w:szCs w:val="22"/>
              </w:rPr>
              <w:t>mainly</w:t>
            </w:r>
            <w:proofErr w:type="spellEnd"/>
            <w:r w:rsidRPr="004075FA">
              <w:rPr>
                <w:rStyle w:val="Strong"/>
                <w:b w:val="0"/>
                <w:bCs w:val="0"/>
                <w:color w:val="000000"/>
                <w:sz w:val="22"/>
                <w:szCs w:val="22"/>
              </w:rPr>
              <w:t xml:space="preserve"> </w:t>
            </w:r>
            <w:proofErr w:type="spellStart"/>
            <w:r w:rsidRPr="004075FA">
              <w:rPr>
                <w:rStyle w:val="Strong"/>
                <w:b w:val="0"/>
                <w:bCs w:val="0"/>
                <w:color w:val="000000"/>
                <w:sz w:val="22"/>
                <w:szCs w:val="22"/>
              </w:rPr>
              <w:t>by</w:t>
            </w:r>
            <w:proofErr w:type="spellEnd"/>
            <w:r w:rsidRPr="004075FA">
              <w:rPr>
                <w:rStyle w:val="Strong"/>
                <w:b w:val="0"/>
                <w:bCs w:val="0"/>
                <w:color w:val="000000"/>
                <w:sz w:val="22"/>
                <w:szCs w:val="22"/>
              </w:rPr>
              <w:t xml:space="preserve"> </w:t>
            </w:r>
            <w:proofErr w:type="spellStart"/>
            <w:r w:rsidRPr="004075FA">
              <w:rPr>
                <w:rStyle w:val="Strong"/>
                <w:b w:val="0"/>
                <w:bCs w:val="0"/>
                <w:color w:val="000000"/>
                <w:sz w:val="22"/>
                <w:szCs w:val="22"/>
              </w:rPr>
              <w:t>exploiting</w:t>
            </w:r>
            <w:proofErr w:type="spellEnd"/>
            <w:r w:rsidRPr="004075FA">
              <w:rPr>
                <w:rStyle w:val="Strong"/>
                <w:b w:val="0"/>
                <w:bCs w:val="0"/>
                <w:color w:val="000000"/>
                <w:sz w:val="22"/>
                <w:szCs w:val="22"/>
              </w:rPr>
              <w:t xml:space="preserve"> </w:t>
            </w:r>
            <w:proofErr w:type="spellStart"/>
            <w:r w:rsidRPr="004075FA">
              <w:rPr>
                <w:rStyle w:val="Strong"/>
                <w:b w:val="0"/>
                <w:bCs w:val="0"/>
                <w:color w:val="000000"/>
                <w:sz w:val="22"/>
                <w:szCs w:val="22"/>
              </w:rPr>
              <w:t>the</w:t>
            </w:r>
            <w:proofErr w:type="spellEnd"/>
            <w:r w:rsidRPr="004075FA">
              <w:rPr>
                <w:rStyle w:val="Strong"/>
                <w:b w:val="0"/>
                <w:bCs w:val="0"/>
                <w:color w:val="000000"/>
                <w:sz w:val="22"/>
                <w:szCs w:val="22"/>
              </w:rPr>
              <w:t xml:space="preserve"> service (e.g., </w:t>
            </w:r>
            <w:proofErr w:type="spellStart"/>
            <w:r w:rsidRPr="004075FA">
              <w:rPr>
                <w:rStyle w:val="Strong"/>
                <w:b w:val="0"/>
                <w:bCs w:val="0"/>
                <w:color w:val="000000"/>
                <w:sz w:val="22"/>
                <w:szCs w:val="22"/>
              </w:rPr>
              <w:t>user</w:t>
            </w:r>
            <w:proofErr w:type="spellEnd"/>
            <w:r w:rsidRPr="004075FA">
              <w:rPr>
                <w:rStyle w:val="Strong"/>
                <w:b w:val="0"/>
                <w:bCs w:val="0"/>
                <w:color w:val="000000"/>
                <w:sz w:val="22"/>
                <w:szCs w:val="22"/>
              </w:rPr>
              <w:t xml:space="preserve"> </w:t>
            </w:r>
            <w:proofErr w:type="spellStart"/>
            <w:r w:rsidRPr="004075FA">
              <w:rPr>
                <w:rStyle w:val="Strong"/>
                <w:b w:val="0"/>
                <w:bCs w:val="0"/>
                <w:color w:val="000000"/>
                <w:sz w:val="22"/>
                <w:szCs w:val="22"/>
              </w:rPr>
              <w:t>fees</w:t>
            </w:r>
            <w:proofErr w:type="spellEnd"/>
            <w:r w:rsidRPr="004075FA">
              <w:rPr>
                <w:rStyle w:val="Strong"/>
                <w:b w:val="0"/>
                <w:bCs w:val="0"/>
                <w:color w:val="000000"/>
                <w:sz w:val="22"/>
                <w:szCs w:val="22"/>
              </w:rPr>
              <w:t>)</w:t>
            </w:r>
            <w:r w:rsidRPr="004075FA">
              <w:rPr>
                <w:color w:val="000000"/>
                <w:sz w:val="22"/>
                <w:szCs w:val="22"/>
              </w:rPr>
              <w:t>.</w:t>
            </w:r>
            <w:r w:rsidRPr="004075FA">
              <w:rPr>
                <w:rStyle w:val="apple-converted-space"/>
                <w:rFonts w:eastAsiaTheme="majorEastAsia"/>
                <w:color w:val="000000"/>
                <w:sz w:val="22"/>
                <w:szCs w:val="22"/>
              </w:rPr>
              <w:t> </w:t>
            </w:r>
          </w:p>
          <w:p w14:paraId="70A2B083" w14:textId="77777777" w:rsidR="004075FA" w:rsidRPr="004075FA" w:rsidRDefault="004075FA" w:rsidP="00815EFD">
            <w:pPr>
              <w:pStyle w:val="NormalWeb"/>
              <w:spacing w:before="0" w:beforeAutospacing="0" w:after="0" w:afterAutospacing="0"/>
              <w:ind w:left="142" w:right="57"/>
              <w:rPr>
                <w:color w:val="000000"/>
                <w:sz w:val="22"/>
                <w:szCs w:val="22"/>
                <w:lang w:val="ro-RO"/>
              </w:rPr>
            </w:pPr>
          </w:p>
        </w:tc>
        <w:tc>
          <w:tcPr>
            <w:tcW w:w="205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02"/>
            </w:tblGrid>
            <w:tr w:rsidR="004075FA" w:rsidRPr="004075FA" w14:paraId="6635122C" w14:textId="77777777" w:rsidTr="00A50D45">
              <w:trPr>
                <w:tblCellSpacing w:w="15" w:type="dxa"/>
              </w:trPr>
              <w:tc>
                <w:tcPr>
                  <w:tcW w:w="0" w:type="auto"/>
                  <w:vAlign w:val="center"/>
                  <w:hideMark/>
                </w:tcPr>
                <w:p w14:paraId="26780A6F" w14:textId="3CE1B7D0" w:rsidR="004075FA" w:rsidRPr="004075FA" w:rsidRDefault="004075FA" w:rsidP="00815EFD">
                  <w:pPr>
                    <w:spacing w:before="0" w:beforeAutospacing="0" w:after="0" w:afterAutospacing="0"/>
                    <w:ind w:left="142" w:right="57"/>
                    <w:rPr>
                      <w:color w:val="000000"/>
                      <w:sz w:val="22"/>
                      <w:szCs w:val="22"/>
                    </w:rPr>
                  </w:pPr>
                  <w:r w:rsidRPr="004075FA">
                    <w:rPr>
                      <w:color w:val="000000"/>
                      <w:sz w:val="22"/>
                      <w:szCs w:val="22"/>
                    </w:rPr>
                    <w:t xml:space="preserve">A </w:t>
                  </w:r>
                  <w:proofErr w:type="spellStart"/>
                  <w:r w:rsidRPr="004075FA">
                    <w:rPr>
                      <w:color w:val="000000"/>
                      <w:sz w:val="22"/>
                      <w:szCs w:val="22"/>
                    </w:rPr>
                    <w:t>broader</w:t>
                  </w:r>
                  <w:proofErr w:type="spellEnd"/>
                  <w:r w:rsidRPr="004075FA">
                    <w:rPr>
                      <w:color w:val="000000"/>
                      <w:sz w:val="22"/>
                      <w:szCs w:val="22"/>
                    </w:rPr>
                    <w:t xml:space="preserve"> </w:t>
                  </w:r>
                  <w:proofErr w:type="spellStart"/>
                  <w:r w:rsidRPr="004075FA">
                    <w:rPr>
                      <w:color w:val="000000"/>
                      <w:sz w:val="22"/>
                      <w:szCs w:val="22"/>
                    </w:rPr>
                    <w:t>long-term</w:t>
                  </w:r>
                  <w:proofErr w:type="spellEnd"/>
                  <w:r w:rsidRPr="004075FA">
                    <w:rPr>
                      <w:color w:val="000000"/>
                      <w:sz w:val="22"/>
                      <w:szCs w:val="22"/>
                    </w:rPr>
                    <w:t xml:space="preserve"> contractual </w:t>
                  </w:r>
                  <w:proofErr w:type="spellStart"/>
                  <w:r w:rsidRPr="004075FA">
                    <w:rPr>
                      <w:color w:val="000000"/>
                      <w:sz w:val="22"/>
                      <w:szCs w:val="22"/>
                    </w:rPr>
                    <w:t>arrangement</w:t>
                  </w:r>
                  <w:proofErr w:type="spellEnd"/>
                  <w:r w:rsidRPr="004075FA">
                    <w:rPr>
                      <w:color w:val="000000"/>
                      <w:sz w:val="22"/>
                      <w:szCs w:val="22"/>
                    </w:rPr>
                    <w:t xml:space="preserve"> </w:t>
                  </w:r>
                  <w:proofErr w:type="spellStart"/>
                  <w:r w:rsidRPr="004075FA">
                    <w:rPr>
                      <w:color w:val="000000"/>
                      <w:sz w:val="22"/>
                      <w:szCs w:val="22"/>
                    </w:rPr>
                    <w:t>between</w:t>
                  </w:r>
                  <w:proofErr w:type="spellEnd"/>
                  <w:r w:rsidRPr="004075FA">
                    <w:rPr>
                      <w:color w:val="000000"/>
                      <w:sz w:val="22"/>
                      <w:szCs w:val="22"/>
                    </w:rPr>
                    <w:t xml:space="preserve"> </w:t>
                  </w:r>
                  <w:proofErr w:type="spellStart"/>
                  <w:r w:rsidRPr="004075FA">
                    <w:rPr>
                      <w:color w:val="000000"/>
                      <w:sz w:val="22"/>
                      <w:szCs w:val="22"/>
                    </w:rPr>
                    <w:t>the</w:t>
                  </w:r>
                  <w:proofErr w:type="spellEnd"/>
                  <w:r w:rsidRPr="004075FA">
                    <w:rPr>
                      <w:color w:val="000000"/>
                      <w:sz w:val="22"/>
                      <w:szCs w:val="22"/>
                    </w:rPr>
                    <w:t xml:space="preserve"> public sector </w:t>
                  </w:r>
                  <w:proofErr w:type="spellStart"/>
                  <w:r w:rsidRPr="004075FA">
                    <w:rPr>
                      <w:color w:val="000000"/>
                      <w:sz w:val="22"/>
                      <w:szCs w:val="22"/>
                    </w:rPr>
                    <w:t>and</w:t>
                  </w:r>
                  <w:proofErr w:type="spellEnd"/>
                  <w:r w:rsidRPr="004075FA">
                    <w:rPr>
                      <w:color w:val="000000"/>
                      <w:sz w:val="22"/>
                      <w:szCs w:val="22"/>
                    </w:rPr>
                    <w:t xml:space="preserve"> private </w:t>
                  </w:r>
                  <w:proofErr w:type="spellStart"/>
                  <w:r w:rsidRPr="004075FA">
                    <w:rPr>
                      <w:color w:val="000000"/>
                      <w:sz w:val="22"/>
                      <w:szCs w:val="22"/>
                    </w:rPr>
                    <w:t>entity</w:t>
                  </w:r>
                  <w:proofErr w:type="spellEnd"/>
                  <w:r w:rsidRPr="004075FA">
                    <w:rPr>
                      <w:color w:val="000000"/>
                      <w:sz w:val="22"/>
                      <w:szCs w:val="22"/>
                    </w:rPr>
                    <w:t xml:space="preserve">, </w:t>
                  </w:r>
                  <w:proofErr w:type="spellStart"/>
                  <w:r w:rsidRPr="004075FA">
                    <w:rPr>
                      <w:color w:val="000000"/>
                      <w:sz w:val="22"/>
                      <w:szCs w:val="22"/>
                    </w:rPr>
                    <w:t>where</w:t>
                  </w:r>
                  <w:proofErr w:type="spellEnd"/>
                  <w:r w:rsidRPr="004075FA">
                    <w:rPr>
                      <w:color w:val="000000"/>
                      <w:sz w:val="22"/>
                      <w:szCs w:val="22"/>
                    </w:rPr>
                    <w:t xml:space="preserve"> </w:t>
                  </w:r>
                  <w:proofErr w:type="spellStart"/>
                  <w:r w:rsidRPr="004075FA">
                    <w:rPr>
                      <w:color w:val="000000"/>
                      <w:sz w:val="22"/>
                      <w:szCs w:val="22"/>
                    </w:rPr>
                    <w:t>the</w:t>
                  </w:r>
                  <w:proofErr w:type="spellEnd"/>
                  <w:r w:rsidRPr="004075FA">
                    <w:rPr>
                      <w:color w:val="000000"/>
                      <w:sz w:val="22"/>
                      <w:szCs w:val="22"/>
                    </w:rPr>
                    <w:t xml:space="preserve"> private </w:t>
                  </w:r>
                  <w:proofErr w:type="spellStart"/>
                  <w:r w:rsidRPr="004075FA">
                    <w:rPr>
                      <w:color w:val="000000"/>
                      <w:sz w:val="22"/>
                      <w:szCs w:val="22"/>
                    </w:rPr>
                    <w:t>partner</w:t>
                  </w:r>
                  <w:proofErr w:type="spellEnd"/>
                  <w:r w:rsidRPr="004075FA">
                    <w:rPr>
                      <w:rStyle w:val="apple-converted-space"/>
                      <w:rFonts w:eastAsiaTheme="majorEastAsia"/>
                      <w:color w:val="000000"/>
                      <w:sz w:val="22"/>
                      <w:szCs w:val="22"/>
                    </w:rPr>
                    <w:t> </w:t>
                  </w:r>
                  <w:proofErr w:type="spellStart"/>
                  <w:r w:rsidRPr="004075FA">
                    <w:rPr>
                      <w:rStyle w:val="Strong"/>
                      <w:b w:val="0"/>
                      <w:bCs w:val="0"/>
                      <w:color w:val="000000"/>
                      <w:sz w:val="22"/>
                      <w:szCs w:val="22"/>
                    </w:rPr>
                    <w:t>delivers</w:t>
                  </w:r>
                  <w:proofErr w:type="spellEnd"/>
                  <w:r w:rsidRPr="004075FA">
                    <w:rPr>
                      <w:rStyle w:val="Strong"/>
                      <w:b w:val="0"/>
                      <w:bCs w:val="0"/>
                      <w:color w:val="000000"/>
                      <w:sz w:val="22"/>
                      <w:szCs w:val="22"/>
                    </w:rPr>
                    <w:t xml:space="preserve"> </w:t>
                  </w:r>
                  <w:proofErr w:type="spellStart"/>
                  <w:r w:rsidRPr="004075FA">
                    <w:rPr>
                      <w:rStyle w:val="Strong"/>
                      <w:b w:val="0"/>
                      <w:bCs w:val="0"/>
                      <w:color w:val="000000"/>
                      <w:sz w:val="22"/>
                      <w:szCs w:val="22"/>
                    </w:rPr>
                    <w:t>and</w:t>
                  </w:r>
                  <w:proofErr w:type="spellEnd"/>
                  <w:r w:rsidRPr="004075FA">
                    <w:rPr>
                      <w:rStyle w:val="Strong"/>
                      <w:b w:val="0"/>
                      <w:bCs w:val="0"/>
                      <w:color w:val="000000"/>
                      <w:sz w:val="22"/>
                      <w:szCs w:val="22"/>
                    </w:rPr>
                    <w:t xml:space="preserve"> </w:t>
                  </w:r>
                  <w:proofErr w:type="spellStart"/>
                  <w:r w:rsidRPr="004075FA">
                    <w:rPr>
                      <w:rStyle w:val="Strong"/>
                      <w:b w:val="0"/>
                      <w:bCs w:val="0"/>
                      <w:color w:val="000000"/>
                      <w:sz w:val="22"/>
                      <w:szCs w:val="22"/>
                    </w:rPr>
                    <w:t>funds</w:t>
                  </w:r>
                  <w:proofErr w:type="spellEnd"/>
                  <w:r w:rsidRPr="004075FA">
                    <w:rPr>
                      <w:rStyle w:val="Strong"/>
                      <w:b w:val="0"/>
                      <w:bCs w:val="0"/>
                      <w:color w:val="000000"/>
                      <w:sz w:val="22"/>
                      <w:szCs w:val="22"/>
                    </w:rPr>
                    <w:t xml:space="preserve"> public </w:t>
                  </w:r>
                  <w:proofErr w:type="spellStart"/>
                  <w:r w:rsidRPr="004075FA">
                    <w:rPr>
                      <w:rStyle w:val="Strong"/>
                      <w:b w:val="0"/>
                      <w:bCs w:val="0"/>
                      <w:color w:val="000000"/>
                      <w:sz w:val="22"/>
                      <w:szCs w:val="22"/>
                    </w:rPr>
                    <w:t>services</w:t>
                  </w:r>
                  <w:proofErr w:type="spellEnd"/>
                  <w:r w:rsidRPr="004075FA">
                    <w:rPr>
                      <w:rStyle w:val="Strong"/>
                      <w:b w:val="0"/>
                      <w:bCs w:val="0"/>
                      <w:color w:val="000000"/>
                      <w:sz w:val="22"/>
                      <w:szCs w:val="22"/>
                    </w:rPr>
                    <w:t>/</w:t>
                  </w:r>
                  <w:proofErr w:type="spellStart"/>
                  <w:r w:rsidRPr="004075FA">
                    <w:rPr>
                      <w:rStyle w:val="Strong"/>
                      <w:b w:val="0"/>
                      <w:bCs w:val="0"/>
                      <w:color w:val="000000"/>
                      <w:sz w:val="22"/>
                      <w:szCs w:val="22"/>
                    </w:rPr>
                    <w:t>infrastructur</w:t>
                  </w:r>
                  <w:proofErr w:type="spellEnd"/>
                  <w:r w:rsidRPr="004075FA">
                    <w:rPr>
                      <w:rStyle w:val="Strong"/>
                      <w:b w:val="0"/>
                      <w:bCs w:val="0"/>
                      <w:color w:val="000000"/>
                      <w:sz w:val="22"/>
                      <w:szCs w:val="22"/>
                    </w:rPr>
                    <w:t xml:space="preserve">, </w:t>
                  </w:r>
                  <w:proofErr w:type="spellStart"/>
                  <w:r w:rsidRPr="004075FA">
                    <w:rPr>
                      <w:rStyle w:val="Strong"/>
                      <w:b w:val="0"/>
                      <w:bCs w:val="0"/>
                      <w:color w:val="000000"/>
                      <w:sz w:val="22"/>
                      <w:szCs w:val="22"/>
                    </w:rPr>
                    <w:t>shares</w:t>
                  </w:r>
                  <w:proofErr w:type="spellEnd"/>
                  <w:r w:rsidRPr="004075FA">
                    <w:rPr>
                      <w:rStyle w:val="Strong"/>
                      <w:b w:val="0"/>
                      <w:bCs w:val="0"/>
                      <w:color w:val="000000"/>
                      <w:sz w:val="22"/>
                      <w:szCs w:val="22"/>
                    </w:rPr>
                    <w:t xml:space="preserve"> </w:t>
                  </w:r>
                  <w:proofErr w:type="spellStart"/>
                  <w:r w:rsidRPr="004075FA">
                    <w:rPr>
                      <w:rStyle w:val="Strong"/>
                      <w:b w:val="0"/>
                      <w:bCs w:val="0"/>
                      <w:color w:val="000000"/>
                      <w:sz w:val="22"/>
                      <w:szCs w:val="22"/>
                    </w:rPr>
                    <w:t>risk</w:t>
                  </w:r>
                  <w:proofErr w:type="spellEnd"/>
                  <w:r w:rsidRPr="004075FA">
                    <w:rPr>
                      <w:rStyle w:val="Strong"/>
                      <w:b w:val="0"/>
                      <w:bCs w:val="0"/>
                      <w:color w:val="000000"/>
                      <w:sz w:val="22"/>
                      <w:szCs w:val="22"/>
                    </w:rPr>
                    <w:t xml:space="preserve">, </w:t>
                  </w:r>
                  <w:proofErr w:type="spellStart"/>
                  <w:r w:rsidRPr="004075FA">
                    <w:rPr>
                      <w:rStyle w:val="Strong"/>
                      <w:b w:val="0"/>
                      <w:bCs w:val="0"/>
                      <w:color w:val="000000"/>
                      <w:sz w:val="22"/>
                      <w:szCs w:val="22"/>
                    </w:rPr>
                    <w:t>and</w:t>
                  </w:r>
                  <w:proofErr w:type="spellEnd"/>
                  <w:r w:rsidRPr="004075FA">
                    <w:rPr>
                      <w:rStyle w:val="Strong"/>
                      <w:b w:val="0"/>
                      <w:bCs w:val="0"/>
                      <w:color w:val="000000"/>
                      <w:sz w:val="22"/>
                      <w:szCs w:val="22"/>
                    </w:rPr>
                    <w:t xml:space="preserve"> </w:t>
                  </w:r>
                  <w:proofErr w:type="spellStart"/>
                  <w:r w:rsidRPr="004075FA">
                    <w:rPr>
                      <w:rStyle w:val="Strong"/>
                      <w:b w:val="0"/>
                      <w:bCs w:val="0"/>
                      <w:color w:val="000000"/>
                      <w:sz w:val="22"/>
                      <w:szCs w:val="22"/>
                    </w:rPr>
                    <w:t>may</w:t>
                  </w:r>
                  <w:proofErr w:type="spellEnd"/>
                  <w:r w:rsidRPr="004075FA">
                    <w:rPr>
                      <w:rStyle w:val="Strong"/>
                      <w:b w:val="0"/>
                      <w:bCs w:val="0"/>
                      <w:color w:val="000000"/>
                      <w:sz w:val="22"/>
                      <w:szCs w:val="22"/>
                    </w:rPr>
                    <w:t xml:space="preserve"> </w:t>
                  </w:r>
                  <w:proofErr w:type="spellStart"/>
                  <w:r w:rsidRPr="004075FA">
                    <w:rPr>
                      <w:rStyle w:val="Strong"/>
                      <w:b w:val="0"/>
                      <w:bCs w:val="0"/>
                      <w:color w:val="000000"/>
                      <w:sz w:val="22"/>
                      <w:szCs w:val="22"/>
                    </w:rPr>
                    <w:t>receive</w:t>
                  </w:r>
                  <w:proofErr w:type="spellEnd"/>
                  <w:r w:rsidRPr="004075FA">
                    <w:rPr>
                      <w:rStyle w:val="Strong"/>
                      <w:b w:val="0"/>
                      <w:bCs w:val="0"/>
                      <w:color w:val="000000"/>
                      <w:sz w:val="22"/>
                      <w:szCs w:val="22"/>
                    </w:rPr>
                    <w:t xml:space="preserve"> </w:t>
                  </w:r>
                  <w:proofErr w:type="spellStart"/>
                  <w:r w:rsidRPr="004075FA">
                    <w:rPr>
                      <w:rStyle w:val="Strong"/>
                      <w:b w:val="0"/>
                      <w:bCs w:val="0"/>
                      <w:color w:val="000000"/>
                      <w:sz w:val="22"/>
                      <w:szCs w:val="22"/>
                    </w:rPr>
                    <w:t>payments</w:t>
                  </w:r>
                  <w:proofErr w:type="spellEnd"/>
                  <w:r w:rsidRPr="004075FA">
                    <w:rPr>
                      <w:rStyle w:val="Strong"/>
                      <w:b w:val="0"/>
                      <w:bCs w:val="0"/>
                      <w:color w:val="000000"/>
                      <w:sz w:val="22"/>
                      <w:szCs w:val="22"/>
                    </w:rPr>
                    <w:t xml:space="preserve"> </w:t>
                  </w:r>
                  <w:proofErr w:type="spellStart"/>
                  <w:r w:rsidRPr="004075FA">
                    <w:rPr>
                      <w:rStyle w:val="Strong"/>
                      <w:b w:val="0"/>
                      <w:bCs w:val="0"/>
                      <w:color w:val="000000"/>
                      <w:sz w:val="22"/>
                      <w:szCs w:val="22"/>
                    </w:rPr>
                    <w:t>from</w:t>
                  </w:r>
                  <w:proofErr w:type="spellEnd"/>
                  <w:r w:rsidRPr="004075FA">
                    <w:rPr>
                      <w:rStyle w:val="Strong"/>
                      <w:b w:val="0"/>
                      <w:bCs w:val="0"/>
                      <w:color w:val="000000"/>
                      <w:sz w:val="22"/>
                      <w:szCs w:val="22"/>
                    </w:rPr>
                    <w:t xml:space="preserve"> </w:t>
                  </w:r>
                  <w:proofErr w:type="spellStart"/>
                  <w:r w:rsidRPr="004075FA">
                    <w:rPr>
                      <w:rStyle w:val="Strong"/>
                      <w:b w:val="0"/>
                      <w:bCs w:val="0"/>
                      <w:color w:val="000000"/>
                      <w:sz w:val="22"/>
                      <w:szCs w:val="22"/>
                    </w:rPr>
                    <w:t>gov</w:t>
                  </w:r>
                  <w:r>
                    <w:rPr>
                      <w:rStyle w:val="Strong"/>
                      <w:b w:val="0"/>
                      <w:bCs w:val="0"/>
                      <w:color w:val="000000"/>
                      <w:sz w:val="22"/>
                      <w:szCs w:val="22"/>
                    </w:rPr>
                    <w:t>ernment</w:t>
                  </w:r>
                  <w:proofErr w:type="spellEnd"/>
                  <w:r w:rsidRPr="004075FA">
                    <w:rPr>
                      <w:rStyle w:val="Strong"/>
                      <w:b w:val="0"/>
                      <w:bCs w:val="0"/>
                      <w:color w:val="000000"/>
                      <w:sz w:val="22"/>
                      <w:szCs w:val="22"/>
                    </w:rPr>
                    <w:t xml:space="preserve"> </w:t>
                  </w:r>
                  <w:proofErr w:type="spellStart"/>
                  <w:r w:rsidRPr="004075FA">
                    <w:rPr>
                      <w:rStyle w:val="Strong"/>
                      <w:b w:val="0"/>
                      <w:bCs w:val="0"/>
                      <w:color w:val="000000"/>
                      <w:sz w:val="22"/>
                      <w:szCs w:val="22"/>
                    </w:rPr>
                    <w:t>and</w:t>
                  </w:r>
                  <w:proofErr w:type="spellEnd"/>
                  <w:r w:rsidRPr="004075FA">
                    <w:rPr>
                      <w:rStyle w:val="Strong"/>
                      <w:b w:val="0"/>
                      <w:bCs w:val="0"/>
                      <w:color w:val="000000"/>
                      <w:sz w:val="22"/>
                      <w:szCs w:val="22"/>
                    </w:rPr>
                    <w:t xml:space="preserve">/or </w:t>
                  </w:r>
                  <w:r>
                    <w:rPr>
                      <w:rStyle w:val="Strong"/>
                      <w:b w:val="0"/>
                      <w:bCs w:val="0"/>
                      <w:color w:val="000000"/>
                      <w:sz w:val="22"/>
                      <w:szCs w:val="22"/>
                    </w:rPr>
                    <w:t xml:space="preserve">private </w:t>
                  </w:r>
                  <w:proofErr w:type="spellStart"/>
                  <w:r>
                    <w:rPr>
                      <w:rStyle w:val="Strong"/>
                      <w:b w:val="0"/>
                      <w:bCs w:val="0"/>
                      <w:color w:val="000000"/>
                      <w:sz w:val="22"/>
                      <w:szCs w:val="22"/>
                    </w:rPr>
                    <w:t>funds</w:t>
                  </w:r>
                  <w:proofErr w:type="spellEnd"/>
                  <w:r>
                    <w:rPr>
                      <w:rStyle w:val="Strong"/>
                      <w:b w:val="0"/>
                      <w:bCs w:val="0"/>
                      <w:color w:val="000000"/>
                      <w:sz w:val="22"/>
                      <w:szCs w:val="22"/>
                    </w:rPr>
                    <w:t>.</w:t>
                  </w:r>
                  <w:r w:rsidRPr="004075FA">
                    <w:rPr>
                      <w:rStyle w:val="apple-converted-space"/>
                      <w:rFonts w:eastAsiaTheme="majorEastAsia"/>
                      <w:color w:val="000000"/>
                      <w:sz w:val="22"/>
                      <w:szCs w:val="22"/>
                    </w:rPr>
                    <w:t> </w:t>
                  </w:r>
                </w:p>
              </w:tc>
            </w:tr>
          </w:tbl>
          <w:p w14:paraId="2C5A73D3" w14:textId="77777777" w:rsidR="004075FA" w:rsidRPr="004075FA" w:rsidRDefault="004075FA" w:rsidP="004075FA">
            <w:pPr>
              <w:pStyle w:val="NormalWeb"/>
              <w:spacing w:before="0" w:beforeAutospacing="0" w:after="0" w:afterAutospacing="0"/>
              <w:ind w:left="142" w:right="57"/>
              <w:jc w:val="both"/>
              <w:rPr>
                <w:color w:val="000000"/>
                <w:sz w:val="22"/>
                <w:szCs w:val="22"/>
                <w:lang w:val="ro-RO"/>
              </w:rPr>
            </w:pPr>
          </w:p>
        </w:tc>
      </w:tr>
      <w:tr w:rsidR="00815EFD" w:rsidRPr="004075FA" w14:paraId="7A1B2EAC" w14:textId="77777777" w:rsidTr="00F537F7">
        <w:tc>
          <w:tcPr>
            <w:tcW w:w="1701" w:type="dxa"/>
          </w:tcPr>
          <w:p w14:paraId="76064FDD" w14:textId="105356DA" w:rsidR="004075FA" w:rsidRPr="004075FA" w:rsidRDefault="004075FA" w:rsidP="00CE528D">
            <w:pPr>
              <w:pStyle w:val="NormalWeb"/>
              <w:spacing w:before="0" w:beforeAutospacing="0" w:after="0" w:afterAutospacing="0"/>
              <w:ind w:left="-109" w:right="57"/>
              <w:rPr>
                <w:color w:val="000000"/>
                <w:sz w:val="22"/>
                <w:szCs w:val="22"/>
                <w:lang w:val="ro-RO"/>
              </w:rPr>
            </w:pPr>
            <w:r w:rsidRPr="004075FA">
              <w:rPr>
                <w:color w:val="000000"/>
                <w:sz w:val="22"/>
                <w:szCs w:val="22"/>
              </w:rPr>
              <w:t>Remuneration</w:t>
            </w:r>
          </w:p>
        </w:tc>
        <w:tc>
          <w:tcPr>
            <w:tcW w:w="2483" w:type="dxa"/>
          </w:tcPr>
          <w:p w14:paraId="38A7A27A" w14:textId="77777777" w:rsidR="004075FA" w:rsidRDefault="004075FA" w:rsidP="00815EFD">
            <w:pPr>
              <w:pStyle w:val="NormalWeb"/>
              <w:spacing w:before="0" w:beforeAutospacing="0" w:after="0" w:afterAutospacing="0"/>
              <w:ind w:left="36" w:right="57"/>
              <w:rPr>
                <w:color w:val="000000"/>
                <w:sz w:val="22"/>
                <w:szCs w:val="22"/>
              </w:rPr>
            </w:pPr>
            <w:r w:rsidRPr="004075FA">
              <w:rPr>
                <w:rStyle w:val="Strong"/>
                <w:b w:val="0"/>
                <w:bCs w:val="0"/>
                <w:color w:val="000000"/>
                <w:sz w:val="22"/>
                <w:szCs w:val="22"/>
              </w:rPr>
              <w:t>User-driven revenues</w:t>
            </w:r>
            <w:r w:rsidRPr="004075FA">
              <w:rPr>
                <w:rStyle w:val="apple-converted-space"/>
                <w:rFonts w:eastAsiaTheme="majorEastAsia"/>
                <w:color w:val="000000"/>
                <w:sz w:val="22"/>
                <w:szCs w:val="22"/>
              </w:rPr>
              <w:t> </w:t>
            </w:r>
            <w:r w:rsidRPr="004075FA">
              <w:rPr>
                <w:color w:val="000000"/>
                <w:sz w:val="22"/>
                <w:szCs w:val="22"/>
              </w:rPr>
              <w:t>and/or right to exploit the asset;</w:t>
            </w:r>
          </w:p>
          <w:p w14:paraId="6B32C559" w14:textId="1210EC81" w:rsidR="004075FA" w:rsidRPr="004075FA" w:rsidRDefault="004075FA" w:rsidP="00815EFD">
            <w:pPr>
              <w:pStyle w:val="NormalWeb"/>
              <w:spacing w:before="0" w:beforeAutospacing="0" w:after="0" w:afterAutospacing="0"/>
              <w:ind w:right="57"/>
              <w:rPr>
                <w:color w:val="000000"/>
                <w:sz w:val="22"/>
                <w:szCs w:val="22"/>
                <w:lang w:val="ro-RO"/>
              </w:rPr>
            </w:pPr>
            <w:r w:rsidRPr="004075FA">
              <w:rPr>
                <w:color w:val="000000"/>
                <w:sz w:val="22"/>
                <w:szCs w:val="22"/>
              </w:rPr>
              <w:t>less direct payment by the government</w:t>
            </w:r>
          </w:p>
        </w:tc>
        <w:tc>
          <w:tcPr>
            <w:tcW w:w="2053" w:type="dxa"/>
          </w:tcPr>
          <w:p w14:paraId="15C9CF1C" w14:textId="2263FE11" w:rsidR="004075FA" w:rsidRPr="004075FA" w:rsidRDefault="004075FA" w:rsidP="00815EFD">
            <w:pPr>
              <w:pStyle w:val="NormalWeb"/>
              <w:spacing w:before="0" w:beforeAutospacing="0" w:after="0" w:afterAutospacing="0"/>
              <w:ind w:left="142" w:right="57"/>
              <w:rPr>
                <w:color w:val="000000"/>
                <w:sz w:val="22"/>
                <w:szCs w:val="22"/>
                <w:lang w:val="ro-RO"/>
              </w:rPr>
            </w:pPr>
            <w:r w:rsidRPr="004075FA">
              <w:rPr>
                <w:color w:val="000000"/>
                <w:sz w:val="22"/>
                <w:szCs w:val="22"/>
              </w:rPr>
              <w:t>Payments can be from</w:t>
            </w:r>
            <w:r w:rsidRPr="004075FA">
              <w:rPr>
                <w:rStyle w:val="apple-converted-space"/>
                <w:color w:val="000000"/>
                <w:sz w:val="22"/>
                <w:szCs w:val="22"/>
              </w:rPr>
              <w:t> </w:t>
            </w:r>
            <w:r w:rsidRPr="004075FA">
              <w:rPr>
                <w:rStyle w:val="Strong"/>
                <w:rFonts w:eastAsiaTheme="majorEastAsia"/>
                <w:b w:val="0"/>
                <w:bCs w:val="0"/>
                <w:color w:val="000000"/>
                <w:sz w:val="22"/>
                <w:szCs w:val="22"/>
              </w:rPr>
              <w:t xml:space="preserve">government, </w:t>
            </w:r>
            <w:proofErr w:type="spellStart"/>
            <w:r w:rsidRPr="004075FA">
              <w:rPr>
                <w:rStyle w:val="Strong"/>
                <w:rFonts w:eastAsiaTheme="majorEastAsia"/>
                <w:b w:val="0"/>
                <w:bCs w:val="0"/>
                <w:color w:val="000000"/>
                <w:sz w:val="22"/>
                <w:szCs w:val="22"/>
                <w:lang w:val="ro-RO"/>
              </w:rPr>
              <w:t>i</w:t>
            </w:r>
            <w:r w:rsidRPr="004075FA">
              <w:rPr>
                <w:rStyle w:val="Strong"/>
                <w:rFonts w:eastAsiaTheme="majorEastAsia"/>
                <w:b w:val="0"/>
                <w:bCs w:val="0"/>
                <w:sz w:val="22"/>
                <w:szCs w:val="22"/>
                <w:lang w:val="ro-RO"/>
              </w:rPr>
              <w:t>nvestors</w:t>
            </w:r>
            <w:proofErr w:type="spellEnd"/>
            <w:r w:rsidRPr="004075FA">
              <w:rPr>
                <w:rStyle w:val="Strong"/>
                <w:rFonts w:eastAsiaTheme="majorEastAsia"/>
                <w:b w:val="0"/>
                <w:bCs w:val="0"/>
                <w:color w:val="000000"/>
                <w:sz w:val="22"/>
                <w:szCs w:val="22"/>
              </w:rPr>
              <w:t>, or a combination</w:t>
            </w:r>
            <w:r w:rsidRPr="004075FA">
              <w:rPr>
                <w:color w:val="000000"/>
                <w:sz w:val="22"/>
                <w:szCs w:val="22"/>
              </w:rPr>
              <w:t>; more variability in funding sources.</w:t>
            </w:r>
          </w:p>
        </w:tc>
      </w:tr>
      <w:tr w:rsidR="00815EFD" w:rsidRPr="004075FA" w14:paraId="4BD86EA7" w14:textId="77777777" w:rsidTr="00F537F7">
        <w:tc>
          <w:tcPr>
            <w:tcW w:w="1701" w:type="dxa"/>
          </w:tcPr>
          <w:p w14:paraId="7FDA83F3" w14:textId="2B3A6E91" w:rsidR="004075FA" w:rsidRPr="004075FA" w:rsidRDefault="004075FA" w:rsidP="004075FA">
            <w:pPr>
              <w:pStyle w:val="NormalWeb"/>
              <w:spacing w:before="0" w:beforeAutospacing="0" w:after="0" w:afterAutospacing="0"/>
              <w:ind w:left="142" w:right="57"/>
              <w:jc w:val="both"/>
              <w:rPr>
                <w:color w:val="000000"/>
                <w:sz w:val="22"/>
                <w:szCs w:val="22"/>
                <w:lang w:val="ro-RO"/>
              </w:rPr>
            </w:pPr>
            <w:r w:rsidRPr="004075FA">
              <w:rPr>
                <w:color w:val="000000"/>
                <w:sz w:val="22"/>
                <w:szCs w:val="22"/>
              </w:rPr>
              <w:t xml:space="preserve">Risk </w:t>
            </w:r>
            <w:r w:rsidR="00CE528D">
              <w:rPr>
                <w:color w:val="000000"/>
                <w:sz w:val="22"/>
                <w:szCs w:val="22"/>
                <w:lang w:val="ro-RO"/>
              </w:rPr>
              <w:t>a</w:t>
            </w:r>
            <w:r w:rsidRPr="004075FA">
              <w:rPr>
                <w:color w:val="000000"/>
                <w:sz w:val="22"/>
                <w:szCs w:val="22"/>
              </w:rPr>
              <w:t>llocation</w:t>
            </w:r>
          </w:p>
        </w:tc>
        <w:tc>
          <w:tcPr>
            <w:tcW w:w="2483" w:type="dxa"/>
          </w:tcPr>
          <w:p w14:paraId="7D051110" w14:textId="1F556F7D" w:rsidR="004075FA" w:rsidRPr="004075FA" w:rsidRDefault="004075FA" w:rsidP="00815EFD">
            <w:pPr>
              <w:pStyle w:val="NormalWeb"/>
              <w:spacing w:before="0" w:beforeAutospacing="0" w:after="0" w:afterAutospacing="0"/>
              <w:ind w:right="-62"/>
              <w:rPr>
                <w:color w:val="000000"/>
                <w:sz w:val="22"/>
                <w:szCs w:val="22"/>
                <w:lang w:val="ro-RO"/>
              </w:rPr>
            </w:pPr>
            <w:r w:rsidRPr="004075FA">
              <w:rPr>
                <w:color w:val="000000"/>
                <w:sz w:val="22"/>
                <w:szCs w:val="22"/>
              </w:rPr>
              <w:t>The private operator bears</w:t>
            </w:r>
            <w:r w:rsidRPr="004075FA">
              <w:rPr>
                <w:rStyle w:val="apple-converted-space"/>
                <w:color w:val="000000"/>
                <w:sz w:val="22"/>
                <w:szCs w:val="22"/>
              </w:rPr>
              <w:t> </w:t>
            </w:r>
            <w:r w:rsidRPr="004075FA">
              <w:rPr>
                <w:rStyle w:val="Strong"/>
                <w:rFonts w:eastAsiaTheme="majorEastAsia"/>
                <w:b w:val="0"/>
                <w:bCs w:val="0"/>
                <w:color w:val="000000"/>
                <w:sz w:val="22"/>
                <w:szCs w:val="22"/>
              </w:rPr>
              <w:t>demand/operation</w:t>
            </w:r>
            <w:r w:rsidR="00CE528D">
              <w:rPr>
                <w:rStyle w:val="Strong"/>
                <w:rFonts w:eastAsiaTheme="majorEastAsia"/>
                <w:b w:val="0"/>
                <w:bCs w:val="0"/>
                <w:color w:val="000000"/>
                <w:sz w:val="22"/>
                <w:szCs w:val="22"/>
                <w:lang w:val="ro-RO"/>
              </w:rPr>
              <w:t xml:space="preserve">al </w:t>
            </w:r>
            <w:r w:rsidRPr="004075FA">
              <w:rPr>
                <w:rStyle w:val="Strong"/>
                <w:rFonts w:eastAsiaTheme="majorEastAsia"/>
                <w:b w:val="0"/>
                <w:bCs w:val="0"/>
                <w:color w:val="000000"/>
                <w:sz w:val="22"/>
                <w:szCs w:val="22"/>
              </w:rPr>
              <w:lastRenderedPageBreak/>
              <w:t>risk</w:t>
            </w:r>
            <w:r w:rsidRPr="004075FA">
              <w:rPr>
                <w:rStyle w:val="apple-converted-space"/>
                <w:color w:val="000000"/>
                <w:sz w:val="22"/>
                <w:szCs w:val="22"/>
              </w:rPr>
              <w:t> </w:t>
            </w:r>
            <w:r w:rsidRPr="004075FA">
              <w:rPr>
                <w:color w:val="000000"/>
                <w:sz w:val="22"/>
                <w:szCs w:val="22"/>
              </w:rPr>
              <w:t>through user revenues.</w:t>
            </w:r>
            <w:r w:rsidRPr="004075FA">
              <w:rPr>
                <w:rStyle w:val="apple-converted-space"/>
                <w:color w:val="000000"/>
                <w:sz w:val="22"/>
                <w:szCs w:val="22"/>
              </w:rPr>
              <w:t> </w:t>
            </w:r>
          </w:p>
        </w:tc>
        <w:tc>
          <w:tcPr>
            <w:tcW w:w="2053" w:type="dxa"/>
          </w:tcPr>
          <w:p w14:paraId="466C8288" w14:textId="591DF6C9" w:rsidR="004075FA" w:rsidRPr="004075FA" w:rsidRDefault="004075FA" w:rsidP="00815EFD">
            <w:pPr>
              <w:pStyle w:val="NormalWeb"/>
              <w:spacing w:before="0" w:beforeAutospacing="0" w:after="0" w:afterAutospacing="0"/>
              <w:ind w:left="142" w:right="57"/>
              <w:rPr>
                <w:color w:val="000000"/>
                <w:sz w:val="22"/>
                <w:szCs w:val="22"/>
                <w:lang w:val="ro-RO"/>
              </w:rPr>
            </w:pPr>
            <w:r w:rsidRPr="004075FA">
              <w:rPr>
                <w:rStyle w:val="Strong"/>
                <w:b w:val="0"/>
                <w:bCs w:val="0"/>
                <w:color w:val="000000"/>
                <w:sz w:val="22"/>
                <w:szCs w:val="22"/>
              </w:rPr>
              <w:lastRenderedPageBreak/>
              <w:t>Shared risk</w:t>
            </w:r>
            <w:r w:rsidRPr="004075FA">
              <w:rPr>
                <w:color w:val="000000"/>
                <w:sz w:val="22"/>
                <w:szCs w:val="22"/>
              </w:rPr>
              <w:t xml:space="preserve">: financial, construction, demand, </w:t>
            </w:r>
            <w:r w:rsidRPr="004075FA">
              <w:rPr>
                <w:color w:val="000000"/>
                <w:sz w:val="22"/>
                <w:szCs w:val="22"/>
              </w:rPr>
              <w:lastRenderedPageBreak/>
              <w:t>or operational risks are allocated according to contract design.</w:t>
            </w:r>
          </w:p>
        </w:tc>
      </w:tr>
      <w:tr w:rsidR="00815EFD" w:rsidRPr="004075FA" w14:paraId="3CC8764D" w14:textId="77777777" w:rsidTr="00F537F7">
        <w:tc>
          <w:tcPr>
            <w:tcW w:w="1701" w:type="dxa"/>
          </w:tcPr>
          <w:p w14:paraId="34ACBAEE" w14:textId="0DC99137" w:rsidR="004075FA" w:rsidRPr="004075FA" w:rsidRDefault="004075FA" w:rsidP="00CE528D">
            <w:pPr>
              <w:pStyle w:val="NormalWeb"/>
              <w:spacing w:before="0" w:beforeAutospacing="0" w:after="0" w:afterAutospacing="0"/>
              <w:ind w:left="33" w:right="57"/>
              <w:jc w:val="both"/>
              <w:rPr>
                <w:color w:val="000000"/>
                <w:sz w:val="22"/>
                <w:szCs w:val="22"/>
              </w:rPr>
            </w:pPr>
            <w:r w:rsidRPr="004075FA">
              <w:rPr>
                <w:color w:val="000000"/>
                <w:sz w:val="22"/>
                <w:szCs w:val="22"/>
              </w:rPr>
              <w:lastRenderedPageBreak/>
              <w:t xml:space="preserve">Contract </w:t>
            </w:r>
            <w:r w:rsidR="00CE528D">
              <w:rPr>
                <w:color w:val="000000"/>
                <w:sz w:val="22"/>
                <w:szCs w:val="22"/>
                <w:lang w:val="ro-RO"/>
              </w:rPr>
              <w:t>c</w:t>
            </w:r>
            <w:r w:rsidRPr="004075FA">
              <w:rPr>
                <w:color w:val="000000"/>
                <w:sz w:val="22"/>
                <w:szCs w:val="22"/>
              </w:rPr>
              <w:t xml:space="preserve">omplexity  </w:t>
            </w:r>
            <w:r>
              <w:rPr>
                <w:color w:val="000000"/>
                <w:sz w:val="22"/>
                <w:szCs w:val="22"/>
                <w:lang w:val="ro-RO"/>
              </w:rPr>
              <w:t>a</w:t>
            </w:r>
            <w:r>
              <w:t xml:space="preserve">nd </w:t>
            </w:r>
            <w:r w:rsidR="00CE528D">
              <w:rPr>
                <w:lang w:val="ro-RO"/>
              </w:rPr>
              <w:t>d</w:t>
            </w:r>
            <w:r w:rsidRPr="004075FA">
              <w:rPr>
                <w:color w:val="000000"/>
                <w:sz w:val="22"/>
                <w:szCs w:val="22"/>
              </w:rPr>
              <w:t>uration</w:t>
            </w:r>
          </w:p>
        </w:tc>
        <w:tc>
          <w:tcPr>
            <w:tcW w:w="2483" w:type="dxa"/>
          </w:tcPr>
          <w:p w14:paraId="618C14F3" w14:textId="3D673F36" w:rsidR="004075FA" w:rsidRPr="004075FA" w:rsidRDefault="004075FA" w:rsidP="00815EFD">
            <w:pPr>
              <w:pStyle w:val="NormalWeb"/>
              <w:spacing w:before="0" w:beforeAutospacing="0" w:after="0" w:afterAutospacing="0"/>
              <w:ind w:left="142" w:right="57"/>
              <w:rPr>
                <w:color w:val="000000"/>
                <w:sz w:val="22"/>
                <w:szCs w:val="22"/>
                <w:lang w:val="ro-RO"/>
              </w:rPr>
            </w:pPr>
            <w:r w:rsidRPr="004075FA">
              <w:rPr>
                <w:color w:val="000000"/>
                <w:sz w:val="22"/>
                <w:szCs w:val="22"/>
              </w:rPr>
              <w:t>Typically</w:t>
            </w:r>
            <w:r w:rsidRPr="004075FA">
              <w:rPr>
                <w:rStyle w:val="apple-converted-space"/>
                <w:color w:val="000000"/>
                <w:sz w:val="22"/>
                <w:szCs w:val="22"/>
              </w:rPr>
              <w:t> </w:t>
            </w:r>
            <w:r w:rsidRPr="004075FA">
              <w:rPr>
                <w:rStyle w:val="Strong"/>
                <w:rFonts w:eastAsiaTheme="majorEastAsia"/>
                <w:b w:val="0"/>
                <w:bCs w:val="0"/>
                <w:color w:val="000000"/>
                <w:sz w:val="22"/>
                <w:szCs w:val="22"/>
              </w:rPr>
              <w:t>focused on operation/management with moderate complexity and medium to long duration</w:t>
            </w:r>
            <w:r w:rsidRPr="004075FA">
              <w:rPr>
                <w:b/>
                <w:bCs/>
                <w:color w:val="000000"/>
                <w:sz w:val="22"/>
                <w:szCs w:val="22"/>
              </w:rPr>
              <w:t>.</w:t>
            </w:r>
          </w:p>
        </w:tc>
        <w:tc>
          <w:tcPr>
            <w:tcW w:w="2053" w:type="dxa"/>
          </w:tcPr>
          <w:p w14:paraId="560C9BF9" w14:textId="23264F55" w:rsidR="004075FA" w:rsidRPr="004075FA" w:rsidRDefault="004075FA" w:rsidP="00815EFD">
            <w:pPr>
              <w:pStyle w:val="NormalWeb"/>
              <w:spacing w:before="0" w:beforeAutospacing="0" w:after="0" w:afterAutospacing="0"/>
              <w:ind w:left="142" w:right="57"/>
              <w:rPr>
                <w:color w:val="000000"/>
                <w:sz w:val="22"/>
                <w:szCs w:val="22"/>
                <w:lang w:val="ro-RO"/>
              </w:rPr>
            </w:pPr>
            <w:r w:rsidRPr="004075FA">
              <w:rPr>
                <w:color w:val="000000"/>
                <w:sz w:val="22"/>
                <w:szCs w:val="22"/>
              </w:rPr>
              <w:t>Often</w:t>
            </w:r>
            <w:r w:rsidRPr="004075FA">
              <w:rPr>
                <w:rStyle w:val="apple-converted-space"/>
                <w:color w:val="000000"/>
                <w:sz w:val="22"/>
                <w:szCs w:val="22"/>
              </w:rPr>
              <w:t> </w:t>
            </w:r>
            <w:r w:rsidRPr="004075FA">
              <w:rPr>
                <w:rStyle w:val="Strong"/>
                <w:rFonts w:eastAsiaTheme="majorEastAsia"/>
                <w:b w:val="0"/>
                <w:bCs w:val="0"/>
                <w:color w:val="000000"/>
                <w:sz w:val="22"/>
                <w:szCs w:val="22"/>
              </w:rPr>
              <w:t>more complex and longer-term</w:t>
            </w:r>
            <w:r w:rsidRPr="004075FA">
              <w:rPr>
                <w:rStyle w:val="apple-converted-space"/>
                <w:color w:val="000000"/>
                <w:sz w:val="22"/>
                <w:szCs w:val="22"/>
              </w:rPr>
              <w:t> </w:t>
            </w:r>
            <w:r w:rsidRPr="004075FA">
              <w:rPr>
                <w:color w:val="000000"/>
                <w:sz w:val="22"/>
                <w:szCs w:val="22"/>
              </w:rPr>
              <w:t>due to integrated responsibilities (design, finance, construction, operation).</w:t>
            </w:r>
          </w:p>
        </w:tc>
      </w:tr>
      <w:tr w:rsidR="00815EFD" w:rsidRPr="004075FA" w14:paraId="51FE6716" w14:textId="77777777" w:rsidTr="00F537F7">
        <w:tc>
          <w:tcPr>
            <w:tcW w:w="1701" w:type="dxa"/>
          </w:tcPr>
          <w:p w14:paraId="4F2E22DB" w14:textId="6D6B7FE7" w:rsidR="004075FA" w:rsidRPr="004075FA" w:rsidRDefault="004075FA" w:rsidP="00CE528D">
            <w:pPr>
              <w:pStyle w:val="NormalWeb"/>
              <w:spacing w:before="0" w:beforeAutospacing="0" w:after="0" w:afterAutospacing="0"/>
              <w:ind w:left="33" w:right="-15"/>
              <w:rPr>
                <w:color w:val="000000"/>
                <w:sz w:val="22"/>
                <w:szCs w:val="22"/>
              </w:rPr>
            </w:pPr>
            <w:r w:rsidRPr="004075FA">
              <w:rPr>
                <w:color w:val="000000"/>
                <w:sz w:val="22"/>
                <w:szCs w:val="22"/>
              </w:rPr>
              <w:t xml:space="preserve">Role in </w:t>
            </w:r>
            <w:r w:rsidR="00CE528D">
              <w:rPr>
                <w:color w:val="000000"/>
                <w:sz w:val="22"/>
                <w:szCs w:val="22"/>
                <w:lang w:val="ro-RO"/>
              </w:rPr>
              <w:t>c</w:t>
            </w:r>
            <w:r w:rsidRPr="004075FA">
              <w:rPr>
                <w:color w:val="000000"/>
                <w:sz w:val="22"/>
                <w:szCs w:val="22"/>
              </w:rPr>
              <w:t xml:space="preserve">ompetitive </w:t>
            </w:r>
            <w:r w:rsidR="00CE528D">
              <w:rPr>
                <w:color w:val="000000"/>
                <w:sz w:val="22"/>
                <w:szCs w:val="22"/>
                <w:lang w:val="ro-RO"/>
              </w:rPr>
              <w:t>p</w:t>
            </w:r>
            <w:r w:rsidRPr="004075FA">
              <w:rPr>
                <w:color w:val="000000"/>
                <w:sz w:val="22"/>
                <w:szCs w:val="22"/>
              </w:rPr>
              <w:t>rocurement</w:t>
            </w:r>
          </w:p>
        </w:tc>
        <w:tc>
          <w:tcPr>
            <w:tcW w:w="2483" w:type="dxa"/>
          </w:tcPr>
          <w:p w14:paraId="37FC05FF" w14:textId="66799864" w:rsidR="004075FA" w:rsidRPr="004075FA" w:rsidRDefault="004075FA" w:rsidP="00815EFD">
            <w:pPr>
              <w:pStyle w:val="NormalWeb"/>
              <w:spacing w:before="0" w:beforeAutospacing="0" w:after="0" w:afterAutospacing="0"/>
              <w:ind w:left="142" w:right="57"/>
              <w:rPr>
                <w:color w:val="000000"/>
                <w:sz w:val="22"/>
                <w:szCs w:val="22"/>
                <w:lang w:val="ro-RO"/>
              </w:rPr>
            </w:pPr>
            <w:r w:rsidRPr="004075FA">
              <w:rPr>
                <w:color w:val="000000"/>
                <w:sz w:val="22"/>
                <w:szCs w:val="22"/>
              </w:rPr>
              <w:t>Concessions are a form of</w:t>
            </w:r>
            <w:r w:rsidRPr="004075FA">
              <w:rPr>
                <w:rStyle w:val="apple-converted-space"/>
                <w:color w:val="000000"/>
                <w:sz w:val="22"/>
                <w:szCs w:val="22"/>
              </w:rPr>
              <w:t> </w:t>
            </w:r>
            <w:r w:rsidRPr="004075FA">
              <w:rPr>
                <w:rStyle w:val="Strong"/>
                <w:rFonts w:eastAsiaTheme="majorEastAsia"/>
                <w:b w:val="0"/>
                <w:bCs w:val="0"/>
                <w:color w:val="000000"/>
                <w:sz w:val="22"/>
                <w:szCs w:val="22"/>
              </w:rPr>
              <w:t>competition</w:t>
            </w:r>
            <w:r>
              <w:rPr>
                <w:rStyle w:val="Strong"/>
                <w:rFonts w:eastAsiaTheme="majorEastAsia"/>
                <w:b w:val="0"/>
                <w:bCs w:val="0"/>
                <w:color w:val="000000"/>
                <w:sz w:val="22"/>
                <w:szCs w:val="22"/>
              </w:rPr>
              <w:t xml:space="preserve"> </w:t>
            </w:r>
            <w:r w:rsidRPr="004075FA">
              <w:rPr>
                <w:rStyle w:val="Strong"/>
                <w:rFonts w:eastAsiaTheme="majorEastAsia"/>
                <w:b w:val="0"/>
                <w:bCs w:val="0"/>
                <w:color w:val="000000"/>
                <w:sz w:val="22"/>
                <w:szCs w:val="22"/>
              </w:rPr>
              <w:t>for-the-market</w:t>
            </w:r>
            <w:r w:rsidRPr="004075FA">
              <w:rPr>
                <w:sz w:val="22"/>
                <w:szCs w:val="22"/>
              </w:rPr>
              <w:t> </w:t>
            </w:r>
            <w:r w:rsidRPr="004075FA">
              <w:rPr>
                <w:color w:val="000000"/>
                <w:sz w:val="22"/>
                <w:szCs w:val="22"/>
              </w:rPr>
              <w:t>where firms bid for exclusive rights to serve a market.</w:t>
            </w:r>
            <w:r w:rsidRPr="004075FA">
              <w:rPr>
                <w:rStyle w:val="apple-converted-space"/>
                <w:color w:val="000000"/>
                <w:sz w:val="22"/>
                <w:szCs w:val="22"/>
              </w:rPr>
              <w:t> </w:t>
            </w:r>
          </w:p>
        </w:tc>
        <w:tc>
          <w:tcPr>
            <w:tcW w:w="2053" w:type="dxa"/>
          </w:tcPr>
          <w:p w14:paraId="5A7EEAB1" w14:textId="2560165D" w:rsidR="004075FA" w:rsidRPr="004075FA" w:rsidRDefault="004075FA" w:rsidP="00815EFD">
            <w:pPr>
              <w:pStyle w:val="NormalWeb"/>
              <w:spacing w:before="0" w:beforeAutospacing="0" w:after="0" w:afterAutospacing="0"/>
              <w:ind w:left="142" w:right="57"/>
              <w:rPr>
                <w:color w:val="000000"/>
                <w:sz w:val="22"/>
                <w:szCs w:val="22"/>
                <w:lang w:val="ro-RO"/>
              </w:rPr>
            </w:pPr>
            <w:r w:rsidRPr="004075FA">
              <w:rPr>
                <w:color w:val="000000"/>
                <w:sz w:val="22"/>
                <w:szCs w:val="22"/>
              </w:rPr>
              <w:t>PPPs may be awarded competitively like concessions, but can also involve</w:t>
            </w:r>
            <w:r w:rsidRPr="004075FA">
              <w:rPr>
                <w:rStyle w:val="apple-converted-space"/>
                <w:color w:val="000000"/>
                <w:sz w:val="22"/>
                <w:szCs w:val="22"/>
              </w:rPr>
              <w:t> </w:t>
            </w:r>
            <w:r w:rsidRPr="004075FA">
              <w:rPr>
                <w:rStyle w:val="Strong"/>
                <w:rFonts w:eastAsiaTheme="majorEastAsia"/>
                <w:b w:val="0"/>
                <w:bCs w:val="0"/>
                <w:color w:val="000000"/>
                <w:sz w:val="22"/>
                <w:szCs w:val="22"/>
              </w:rPr>
              <w:t>negotiated procedures</w:t>
            </w:r>
            <w:r w:rsidRPr="004075FA">
              <w:rPr>
                <w:rStyle w:val="apple-converted-space"/>
                <w:b/>
                <w:bCs/>
                <w:color w:val="000000"/>
                <w:sz w:val="22"/>
                <w:szCs w:val="22"/>
              </w:rPr>
              <w:t> </w:t>
            </w:r>
            <w:r w:rsidRPr="004075FA">
              <w:rPr>
                <w:color w:val="000000"/>
                <w:sz w:val="22"/>
                <w:szCs w:val="22"/>
              </w:rPr>
              <w:t>due to complexity.</w:t>
            </w:r>
            <w:r w:rsidRPr="004075FA">
              <w:rPr>
                <w:rStyle w:val="apple-converted-space"/>
                <w:color w:val="000000"/>
                <w:sz w:val="22"/>
                <w:szCs w:val="22"/>
              </w:rPr>
              <w:t> </w:t>
            </w:r>
          </w:p>
        </w:tc>
      </w:tr>
      <w:tr w:rsidR="00815EFD" w:rsidRPr="004075FA" w14:paraId="4421EB49" w14:textId="77777777" w:rsidTr="00F537F7">
        <w:tc>
          <w:tcPr>
            <w:tcW w:w="1701" w:type="dxa"/>
          </w:tcPr>
          <w:p w14:paraId="56767071" w14:textId="0FF6824F" w:rsidR="004075FA" w:rsidRPr="004075FA" w:rsidRDefault="004075FA" w:rsidP="00CE528D">
            <w:pPr>
              <w:pStyle w:val="NormalWeb"/>
              <w:spacing w:before="0" w:beforeAutospacing="0" w:after="0" w:afterAutospacing="0"/>
              <w:ind w:left="142" w:right="57"/>
              <w:rPr>
                <w:color w:val="000000"/>
                <w:sz w:val="22"/>
                <w:szCs w:val="22"/>
              </w:rPr>
            </w:pPr>
            <w:r w:rsidRPr="004075FA">
              <w:rPr>
                <w:color w:val="000000"/>
                <w:sz w:val="22"/>
                <w:szCs w:val="22"/>
              </w:rPr>
              <w:t xml:space="preserve">Asset </w:t>
            </w:r>
            <w:r w:rsidR="00CE528D">
              <w:rPr>
                <w:color w:val="000000"/>
                <w:sz w:val="22"/>
                <w:szCs w:val="22"/>
                <w:lang w:val="ro-RO"/>
              </w:rPr>
              <w:t>o</w:t>
            </w:r>
            <w:r w:rsidRPr="004075FA">
              <w:rPr>
                <w:color w:val="000000"/>
                <w:sz w:val="22"/>
                <w:szCs w:val="22"/>
              </w:rPr>
              <w:t>wnership</w:t>
            </w:r>
          </w:p>
        </w:tc>
        <w:tc>
          <w:tcPr>
            <w:tcW w:w="2483" w:type="dxa"/>
          </w:tcPr>
          <w:p w14:paraId="18C48029" w14:textId="3319DAEF" w:rsidR="004075FA" w:rsidRPr="004075FA" w:rsidRDefault="004075FA" w:rsidP="00815EFD">
            <w:pPr>
              <w:pStyle w:val="NormalWeb"/>
              <w:spacing w:before="0" w:beforeAutospacing="0" w:after="0" w:afterAutospacing="0"/>
              <w:ind w:left="142" w:right="57"/>
              <w:rPr>
                <w:color w:val="000000"/>
                <w:sz w:val="22"/>
                <w:szCs w:val="22"/>
                <w:lang w:val="ro-RO"/>
              </w:rPr>
            </w:pPr>
            <w:r w:rsidRPr="004075FA">
              <w:rPr>
                <w:color w:val="000000"/>
                <w:sz w:val="22"/>
                <w:szCs w:val="22"/>
              </w:rPr>
              <w:t>Asset often</w:t>
            </w:r>
            <w:r w:rsidRPr="004075FA">
              <w:rPr>
                <w:rStyle w:val="apple-converted-space"/>
                <w:color w:val="000000"/>
                <w:sz w:val="22"/>
                <w:szCs w:val="22"/>
              </w:rPr>
              <w:t> </w:t>
            </w:r>
            <w:r w:rsidRPr="004075FA">
              <w:rPr>
                <w:rStyle w:val="Strong"/>
                <w:rFonts w:eastAsiaTheme="majorEastAsia"/>
                <w:b w:val="0"/>
                <w:bCs w:val="0"/>
                <w:color w:val="000000"/>
                <w:sz w:val="22"/>
                <w:szCs w:val="22"/>
              </w:rPr>
              <w:t>remains public</w:t>
            </w:r>
            <w:r w:rsidRPr="004075FA">
              <w:rPr>
                <w:color w:val="000000"/>
                <w:sz w:val="22"/>
                <w:szCs w:val="22"/>
              </w:rPr>
              <w:t>, with the private party having operational rights for a period.</w:t>
            </w:r>
          </w:p>
        </w:tc>
        <w:tc>
          <w:tcPr>
            <w:tcW w:w="2053" w:type="dxa"/>
          </w:tcPr>
          <w:p w14:paraId="457567F5" w14:textId="7F2CD8F7" w:rsidR="004075FA" w:rsidRPr="004075FA" w:rsidRDefault="004075FA" w:rsidP="00815EFD">
            <w:pPr>
              <w:pStyle w:val="NormalWeb"/>
              <w:spacing w:before="0" w:beforeAutospacing="0" w:after="0" w:afterAutospacing="0"/>
              <w:ind w:left="142" w:right="57"/>
              <w:rPr>
                <w:color w:val="000000"/>
                <w:sz w:val="22"/>
                <w:szCs w:val="22"/>
                <w:lang w:val="ro-RO"/>
              </w:rPr>
            </w:pPr>
            <w:r w:rsidRPr="004075FA">
              <w:rPr>
                <w:color w:val="000000"/>
                <w:sz w:val="22"/>
                <w:szCs w:val="22"/>
                <w:lang w:val="ro-RO"/>
              </w:rPr>
              <w:t>a</w:t>
            </w:r>
            <w:r w:rsidRPr="004075FA">
              <w:rPr>
                <w:color w:val="000000"/>
                <w:sz w:val="22"/>
                <w:szCs w:val="22"/>
              </w:rPr>
              <w:t>ssets may remain public or be</w:t>
            </w:r>
            <w:r w:rsidRPr="004075FA">
              <w:rPr>
                <w:rStyle w:val="apple-converted-space"/>
                <w:color w:val="000000"/>
                <w:sz w:val="22"/>
                <w:szCs w:val="22"/>
              </w:rPr>
              <w:t> </w:t>
            </w:r>
            <w:r w:rsidRPr="004075FA">
              <w:rPr>
                <w:rStyle w:val="Strong"/>
                <w:rFonts w:eastAsiaTheme="majorEastAsia"/>
                <w:b w:val="0"/>
                <w:bCs w:val="0"/>
                <w:color w:val="000000"/>
                <w:sz w:val="22"/>
                <w:szCs w:val="22"/>
              </w:rPr>
              <w:t>transferred at contract end</w:t>
            </w:r>
            <w:r w:rsidRPr="004075FA">
              <w:rPr>
                <w:rStyle w:val="apple-converted-space"/>
                <w:color w:val="000000"/>
                <w:sz w:val="22"/>
                <w:szCs w:val="22"/>
              </w:rPr>
              <w:t> </w:t>
            </w:r>
            <w:r w:rsidRPr="004075FA">
              <w:rPr>
                <w:color w:val="000000"/>
                <w:sz w:val="22"/>
                <w:szCs w:val="22"/>
              </w:rPr>
              <w:t>depending on structure (e.g., DBFO, BOT models)</w:t>
            </w:r>
          </w:p>
        </w:tc>
      </w:tr>
      <w:tr w:rsidR="00815EFD" w:rsidRPr="004075FA" w14:paraId="04A34A5E" w14:textId="77777777" w:rsidTr="00F537F7">
        <w:tc>
          <w:tcPr>
            <w:tcW w:w="1701" w:type="dxa"/>
          </w:tcPr>
          <w:p w14:paraId="69A62C3D" w14:textId="21F3A971" w:rsidR="004075FA" w:rsidRPr="004075FA" w:rsidRDefault="004075FA" w:rsidP="00CE528D">
            <w:pPr>
              <w:pStyle w:val="NormalWeb"/>
              <w:spacing w:before="0" w:beforeAutospacing="0" w:after="0" w:afterAutospacing="0"/>
              <w:ind w:left="142" w:right="57"/>
              <w:rPr>
                <w:color w:val="000000"/>
                <w:sz w:val="22"/>
                <w:szCs w:val="22"/>
              </w:rPr>
            </w:pPr>
            <w:r w:rsidRPr="004075FA">
              <w:rPr>
                <w:color w:val="000000"/>
                <w:sz w:val="22"/>
                <w:szCs w:val="22"/>
              </w:rPr>
              <w:t xml:space="preserve">Public </w:t>
            </w:r>
            <w:r w:rsidR="00CE528D">
              <w:rPr>
                <w:color w:val="000000"/>
                <w:sz w:val="22"/>
                <w:szCs w:val="22"/>
                <w:lang w:val="ro-RO"/>
              </w:rPr>
              <w:t>s</w:t>
            </w:r>
            <w:r w:rsidRPr="004075FA">
              <w:rPr>
                <w:color w:val="000000"/>
                <w:sz w:val="22"/>
                <w:szCs w:val="22"/>
              </w:rPr>
              <w:t xml:space="preserve">ector </w:t>
            </w:r>
            <w:r w:rsidR="00CE528D">
              <w:rPr>
                <w:color w:val="000000"/>
                <w:sz w:val="22"/>
                <w:szCs w:val="22"/>
                <w:lang w:val="ro-RO"/>
              </w:rPr>
              <w:t>p</w:t>
            </w:r>
            <w:r w:rsidRPr="004075FA">
              <w:rPr>
                <w:color w:val="000000"/>
                <w:sz w:val="22"/>
                <w:szCs w:val="22"/>
              </w:rPr>
              <w:t>ayment</w:t>
            </w:r>
          </w:p>
        </w:tc>
        <w:tc>
          <w:tcPr>
            <w:tcW w:w="2483" w:type="dxa"/>
          </w:tcPr>
          <w:p w14:paraId="26FC0E45" w14:textId="5AB54AD5" w:rsidR="004075FA" w:rsidRPr="004075FA" w:rsidRDefault="004075FA" w:rsidP="00CE528D">
            <w:pPr>
              <w:pStyle w:val="NormalWeb"/>
              <w:spacing w:before="0" w:beforeAutospacing="0" w:after="0" w:afterAutospacing="0"/>
              <w:ind w:left="142" w:right="57"/>
              <w:rPr>
                <w:color w:val="000000"/>
                <w:sz w:val="22"/>
                <w:szCs w:val="22"/>
                <w:lang w:val="ro-RO"/>
              </w:rPr>
            </w:pPr>
            <w:r w:rsidRPr="004075FA">
              <w:rPr>
                <w:rStyle w:val="Strong"/>
                <w:b w:val="0"/>
                <w:bCs w:val="0"/>
                <w:color w:val="000000"/>
                <w:sz w:val="22"/>
                <w:szCs w:val="22"/>
              </w:rPr>
              <w:t>Minimal or no direct payment</w:t>
            </w:r>
            <w:r w:rsidRPr="004075FA">
              <w:rPr>
                <w:rStyle w:val="apple-converted-space"/>
                <w:rFonts w:eastAsiaTheme="majorEastAsia"/>
                <w:color w:val="000000"/>
                <w:sz w:val="22"/>
                <w:szCs w:val="22"/>
              </w:rPr>
              <w:t> </w:t>
            </w:r>
            <w:r w:rsidRPr="004075FA">
              <w:rPr>
                <w:color w:val="000000"/>
                <w:sz w:val="22"/>
                <w:szCs w:val="22"/>
              </w:rPr>
              <w:t>from government if user revenues suffice.</w:t>
            </w:r>
          </w:p>
        </w:tc>
        <w:tc>
          <w:tcPr>
            <w:tcW w:w="2053" w:type="dxa"/>
          </w:tcPr>
          <w:p w14:paraId="2EBC30A7" w14:textId="536A4E7C" w:rsidR="004075FA" w:rsidRPr="004075FA" w:rsidRDefault="004075FA" w:rsidP="00CE528D">
            <w:pPr>
              <w:pStyle w:val="NormalWeb"/>
              <w:spacing w:before="0" w:beforeAutospacing="0" w:after="0" w:afterAutospacing="0"/>
              <w:ind w:left="142" w:right="57"/>
              <w:rPr>
                <w:color w:val="000000"/>
                <w:sz w:val="22"/>
                <w:szCs w:val="22"/>
                <w:lang w:val="ro-RO"/>
              </w:rPr>
            </w:pPr>
            <w:r w:rsidRPr="004075FA">
              <w:rPr>
                <w:rStyle w:val="Strong"/>
                <w:b w:val="0"/>
                <w:bCs w:val="0"/>
                <w:color w:val="000000"/>
                <w:sz w:val="22"/>
                <w:szCs w:val="22"/>
              </w:rPr>
              <w:t>Regular payments</w:t>
            </w:r>
            <w:r w:rsidRPr="004075FA">
              <w:rPr>
                <w:rStyle w:val="apple-converted-space"/>
                <w:rFonts w:eastAsiaTheme="majorEastAsia"/>
                <w:color w:val="000000"/>
                <w:sz w:val="22"/>
                <w:szCs w:val="22"/>
              </w:rPr>
              <w:t> </w:t>
            </w:r>
            <w:r w:rsidRPr="004075FA">
              <w:rPr>
                <w:color w:val="000000"/>
                <w:sz w:val="22"/>
                <w:szCs w:val="22"/>
              </w:rPr>
              <w:t>from government (availability payments) may be part of financing.</w:t>
            </w:r>
          </w:p>
        </w:tc>
      </w:tr>
    </w:tbl>
    <w:p w14:paraId="2886CD33" w14:textId="77777777" w:rsidR="004075FA" w:rsidRDefault="004075FA" w:rsidP="004075FA">
      <w:pPr>
        <w:pStyle w:val="NormalWeb"/>
        <w:spacing w:before="0" w:beforeAutospacing="0" w:after="0" w:afterAutospacing="0"/>
        <w:ind w:left="142" w:right="57"/>
        <w:jc w:val="both"/>
        <w:rPr>
          <w:i/>
          <w:iCs/>
          <w:color w:val="000000"/>
          <w:sz w:val="22"/>
          <w:szCs w:val="22"/>
          <w:lang w:val="en-US"/>
        </w:rPr>
      </w:pPr>
      <w:proofErr w:type="spellStart"/>
      <w:r w:rsidRPr="004075FA">
        <w:rPr>
          <w:i/>
          <w:iCs/>
          <w:color w:val="000000"/>
          <w:sz w:val="22"/>
          <w:szCs w:val="22"/>
          <w:lang w:val="ro-RO"/>
        </w:rPr>
        <w:t>Source</w:t>
      </w:r>
      <w:proofErr w:type="spellEnd"/>
      <w:r w:rsidRPr="004075FA">
        <w:rPr>
          <w:i/>
          <w:iCs/>
          <w:color w:val="000000"/>
          <w:sz w:val="22"/>
          <w:szCs w:val="22"/>
          <w:lang w:val="ro-RO"/>
        </w:rPr>
        <w:t xml:space="preserve">: </w:t>
      </w:r>
      <w:proofErr w:type="spellStart"/>
      <w:r w:rsidRPr="004075FA">
        <w:rPr>
          <w:i/>
          <w:iCs/>
          <w:color w:val="000000"/>
          <w:sz w:val="22"/>
          <w:szCs w:val="22"/>
          <w:lang w:val="ro-RO"/>
        </w:rPr>
        <w:t>Author</w:t>
      </w:r>
      <w:proofErr w:type="spellEnd"/>
      <w:r w:rsidRPr="004075FA">
        <w:rPr>
          <w:i/>
          <w:iCs/>
          <w:color w:val="000000"/>
          <w:sz w:val="22"/>
          <w:szCs w:val="22"/>
          <w:lang w:val="en-US"/>
        </w:rPr>
        <w:t>’s contribution, based on OECD data</w:t>
      </w:r>
      <w:r>
        <w:rPr>
          <w:i/>
          <w:iCs/>
          <w:color w:val="000000"/>
          <w:sz w:val="22"/>
          <w:szCs w:val="22"/>
          <w:lang w:val="en-US"/>
        </w:rPr>
        <w:t>, 2019.</w:t>
      </w:r>
    </w:p>
    <w:p w14:paraId="4379C4F6" w14:textId="77777777" w:rsidR="004075FA" w:rsidRDefault="004075FA" w:rsidP="004075FA">
      <w:pPr>
        <w:pStyle w:val="NormalWeb"/>
        <w:spacing w:before="0" w:beforeAutospacing="0" w:after="0" w:afterAutospacing="0"/>
        <w:ind w:left="142" w:right="57"/>
        <w:jc w:val="both"/>
        <w:rPr>
          <w:i/>
          <w:iCs/>
          <w:color w:val="000000"/>
          <w:sz w:val="22"/>
          <w:szCs w:val="22"/>
          <w:lang w:val="en-US"/>
        </w:rPr>
      </w:pPr>
    </w:p>
    <w:p w14:paraId="61DEEC8F" w14:textId="315DC548" w:rsidR="004075FA" w:rsidRDefault="00E02E50" w:rsidP="004075FA">
      <w:pPr>
        <w:pStyle w:val="NormalWeb"/>
        <w:spacing w:before="0" w:beforeAutospacing="0" w:after="0" w:afterAutospacing="0"/>
        <w:ind w:left="142" w:right="57"/>
        <w:jc w:val="both"/>
        <w:rPr>
          <w:color w:val="000000"/>
          <w:sz w:val="22"/>
          <w:szCs w:val="22"/>
        </w:rPr>
      </w:pPr>
      <w:r w:rsidRPr="00E02E50">
        <w:rPr>
          <w:color w:val="000000"/>
          <w:sz w:val="22"/>
          <w:szCs w:val="22"/>
        </w:rPr>
        <w:t>The qualitative review of peer-reviewed academic studies and institutional reports reveals several convergent findings regarding public–private collaboration in the European context. Academic contributions emphasise that public–private partnerships are complex, long-term contractual arrangements aimed at mobilising private capital for infrastructure development, while enabling flexible risk-sharing and lifecycle management (Yescombe, 2007).</w:t>
      </w:r>
      <w:r w:rsidR="004075FA" w:rsidRPr="004075FA">
        <w:rPr>
          <w:color w:val="000000"/>
          <w:sz w:val="22"/>
          <w:szCs w:val="22"/>
        </w:rPr>
        <w:t xml:space="preserve">The findings indicate that both concessions and </w:t>
      </w:r>
      <w:r w:rsidR="004075FA">
        <w:rPr>
          <w:color w:val="000000"/>
          <w:sz w:val="22"/>
          <w:szCs w:val="22"/>
          <w:lang w:val="ro-RO"/>
        </w:rPr>
        <w:t xml:space="preserve">Public-Private </w:t>
      </w:r>
      <w:proofErr w:type="spellStart"/>
      <w:r w:rsidR="004075FA">
        <w:rPr>
          <w:color w:val="000000"/>
          <w:sz w:val="22"/>
          <w:szCs w:val="22"/>
          <w:lang w:val="ro-RO"/>
        </w:rPr>
        <w:t>Partnerships</w:t>
      </w:r>
      <w:proofErr w:type="spellEnd"/>
      <w:r w:rsidR="004075FA" w:rsidRPr="004075FA">
        <w:rPr>
          <w:color w:val="000000"/>
          <w:sz w:val="22"/>
          <w:szCs w:val="22"/>
        </w:rPr>
        <w:t xml:space="preserve"> can contribute to long-term investment, risk sharing, and efficiency, provided that they are </w:t>
      </w:r>
      <w:r w:rsidR="004075FA" w:rsidRPr="004075FA">
        <w:rPr>
          <w:color w:val="000000"/>
          <w:sz w:val="22"/>
          <w:szCs w:val="22"/>
        </w:rPr>
        <w:lastRenderedPageBreak/>
        <w:t xml:space="preserve">embedded within clear legal frameworks and supported by adequate institutional capacity. While concessions rely primarily on user-based remuneration and transfer significant demand risk to the private operator, PPPs allow for more flexible financing structures and risk allocation mechanisms tailored to complex infrastructure projects. </w:t>
      </w:r>
    </w:p>
    <w:p w14:paraId="75251533" w14:textId="77777777" w:rsidR="003E3C00" w:rsidRDefault="004075FA" w:rsidP="004075FA">
      <w:pPr>
        <w:pStyle w:val="NormalWeb"/>
        <w:spacing w:before="0" w:beforeAutospacing="0" w:after="0" w:afterAutospacing="0"/>
        <w:ind w:left="142" w:right="57"/>
        <w:jc w:val="both"/>
        <w:rPr>
          <w:color w:val="000000"/>
          <w:sz w:val="22"/>
          <w:szCs w:val="22"/>
        </w:rPr>
      </w:pPr>
      <w:r w:rsidRPr="004075FA">
        <w:rPr>
          <w:color w:val="000000"/>
          <w:sz w:val="22"/>
          <w:szCs w:val="22"/>
        </w:rPr>
        <w:t xml:space="preserve">At the same time, the analysis underscores the importance of transparency, accountability, and effective public oversight in ensuring that public–private collaboration delivers value for money and serves the public interest. </w:t>
      </w:r>
    </w:p>
    <w:p w14:paraId="3AD1AF57" w14:textId="71661AF5" w:rsidR="003E3C00" w:rsidRDefault="003E3C00" w:rsidP="004075FA">
      <w:pPr>
        <w:pStyle w:val="NormalWeb"/>
        <w:spacing w:before="0" w:beforeAutospacing="0" w:after="0" w:afterAutospacing="0"/>
        <w:ind w:left="142" w:right="57"/>
        <w:jc w:val="both"/>
        <w:rPr>
          <w:color w:val="000000"/>
          <w:sz w:val="22"/>
          <w:szCs w:val="22"/>
        </w:rPr>
      </w:pPr>
      <w:proofErr w:type="spellStart"/>
      <w:r>
        <w:rPr>
          <w:color w:val="000000"/>
          <w:sz w:val="22"/>
          <w:szCs w:val="22"/>
          <w:lang w:val="ro-RO"/>
        </w:rPr>
        <w:t>Also</w:t>
      </w:r>
      <w:proofErr w:type="spellEnd"/>
      <w:r>
        <w:rPr>
          <w:color w:val="000000"/>
          <w:sz w:val="22"/>
          <w:szCs w:val="22"/>
          <w:lang w:val="ro-RO"/>
        </w:rPr>
        <w:t xml:space="preserve"> </w:t>
      </w:r>
      <w:r w:rsidRPr="003E3C00">
        <w:rPr>
          <w:color w:val="000000"/>
          <w:sz w:val="22"/>
          <w:szCs w:val="22"/>
        </w:rPr>
        <w:t>comparative policy analyses highlight that concessions constitute a distinct contractual form in which private remuneration is primarily derived from user fees, implying a higher transfer of demand risk to the private operator (OECD, 2011; OECD, 2019).</w:t>
      </w:r>
    </w:p>
    <w:p w14:paraId="1A4DFB09" w14:textId="1DC4844F" w:rsidR="00E50E50" w:rsidRDefault="003E3C00" w:rsidP="004075FA">
      <w:pPr>
        <w:pStyle w:val="NormalWeb"/>
        <w:spacing w:before="0" w:beforeAutospacing="0" w:after="0" w:afterAutospacing="0"/>
        <w:ind w:left="142" w:right="57"/>
        <w:jc w:val="both"/>
        <w:rPr>
          <w:color w:val="000000"/>
          <w:sz w:val="22"/>
          <w:szCs w:val="22"/>
        </w:rPr>
      </w:pPr>
      <w:r w:rsidRPr="003E3C00">
        <w:rPr>
          <w:color w:val="000000"/>
          <w:sz w:val="22"/>
          <w:szCs w:val="22"/>
        </w:rPr>
        <w:t>Institutional assessments further document that both PPPs and concessions face recurrent governance challenges related to transparency, risk allocation and institutional capacity. The European Court of Auditors (2018) shows that inadequate ex-ante planning and weak oversight may limit the expected benefits of PPP arrangements. Building on these academic and institutional findings, the present study synthesises the key analytical dimensions identified in the literature</w:t>
      </w:r>
      <w:r>
        <w:rPr>
          <w:color w:val="000000"/>
          <w:sz w:val="22"/>
          <w:szCs w:val="22"/>
          <w:lang w:val="ro-RO"/>
        </w:rPr>
        <w:t xml:space="preserve">, </w:t>
      </w:r>
      <w:r w:rsidRPr="003E3C00">
        <w:rPr>
          <w:color w:val="000000"/>
          <w:sz w:val="22"/>
          <w:szCs w:val="22"/>
        </w:rPr>
        <w:t>namely remuneration mechanisms, risk allocation, contract duration and asset ownership</w:t>
      </w:r>
      <w:r>
        <w:rPr>
          <w:color w:val="000000"/>
          <w:sz w:val="22"/>
          <w:szCs w:val="22"/>
          <w:lang w:val="ro-RO"/>
        </w:rPr>
        <w:t xml:space="preserve">, </w:t>
      </w:r>
      <w:r w:rsidRPr="003E3C00">
        <w:rPr>
          <w:color w:val="000000"/>
          <w:sz w:val="22"/>
          <w:szCs w:val="22"/>
        </w:rPr>
        <w:t>into the comparative framework presented in Table 1.</w:t>
      </w:r>
    </w:p>
    <w:p w14:paraId="463BD1E6" w14:textId="77777777" w:rsidR="003E3C00" w:rsidRPr="004075FA" w:rsidRDefault="003E3C00" w:rsidP="004075FA">
      <w:pPr>
        <w:pStyle w:val="NormalWeb"/>
        <w:spacing w:before="0" w:beforeAutospacing="0" w:after="0" w:afterAutospacing="0"/>
        <w:ind w:left="142" w:right="57"/>
        <w:jc w:val="both"/>
        <w:rPr>
          <w:color w:val="000000"/>
          <w:sz w:val="22"/>
          <w:szCs w:val="22"/>
        </w:rPr>
      </w:pPr>
    </w:p>
    <w:p w14:paraId="0E825B50" w14:textId="3CA44124" w:rsidR="004075FA" w:rsidRDefault="004075FA" w:rsidP="00815EFD">
      <w:pPr>
        <w:pStyle w:val="ListParagraph"/>
        <w:numPr>
          <w:ilvl w:val="0"/>
          <w:numId w:val="4"/>
        </w:numPr>
        <w:spacing w:before="0" w:beforeAutospacing="0" w:after="0" w:afterAutospacing="0" w:line="240" w:lineRule="auto"/>
        <w:ind w:left="142" w:right="57" w:firstLine="0"/>
        <w:jc w:val="both"/>
        <w:rPr>
          <w:b/>
          <w:bCs/>
          <w:sz w:val="22"/>
          <w:szCs w:val="22"/>
        </w:rPr>
      </w:pPr>
      <w:proofErr w:type="spellStart"/>
      <w:r w:rsidRPr="004075FA">
        <w:rPr>
          <w:b/>
          <w:bCs/>
          <w:sz w:val="22"/>
          <w:szCs w:val="22"/>
        </w:rPr>
        <w:t>Conclusions</w:t>
      </w:r>
      <w:proofErr w:type="spellEnd"/>
      <w:r w:rsidRPr="004075FA">
        <w:rPr>
          <w:b/>
          <w:bCs/>
          <w:sz w:val="22"/>
          <w:szCs w:val="22"/>
        </w:rPr>
        <w:t xml:space="preserve"> </w:t>
      </w:r>
    </w:p>
    <w:p w14:paraId="0463D6C0" w14:textId="77777777" w:rsidR="00E50E50" w:rsidRPr="004075FA" w:rsidRDefault="00E50E50" w:rsidP="00E50E50">
      <w:pPr>
        <w:pStyle w:val="ListParagraph"/>
        <w:spacing w:before="0" w:beforeAutospacing="0" w:after="0" w:afterAutospacing="0" w:line="240" w:lineRule="auto"/>
        <w:ind w:left="142" w:right="57"/>
        <w:jc w:val="both"/>
        <w:rPr>
          <w:b/>
          <w:bCs/>
          <w:sz w:val="22"/>
          <w:szCs w:val="22"/>
        </w:rPr>
      </w:pPr>
    </w:p>
    <w:p w14:paraId="7E497169" w14:textId="77777777" w:rsidR="004075FA" w:rsidRPr="004075FA" w:rsidRDefault="004075FA" w:rsidP="004075FA">
      <w:pPr>
        <w:pStyle w:val="NormalWeb"/>
        <w:spacing w:before="0" w:beforeAutospacing="0" w:after="0" w:afterAutospacing="0"/>
        <w:ind w:left="142" w:right="57"/>
        <w:jc w:val="both"/>
        <w:rPr>
          <w:color w:val="000000"/>
          <w:sz w:val="22"/>
          <w:szCs w:val="22"/>
        </w:rPr>
      </w:pPr>
      <w:r w:rsidRPr="004075FA">
        <w:rPr>
          <w:color w:val="000000"/>
          <w:sz w:val="22"/>
          <w:szCs w:val="22"/>
        </w:rPr>
        <w:t>This study highlights the growing relevance of public–private collaboration as a governance mechanism within the European framework. By employing public–private collaboration as an umbrella concept, the article clarifies the conceptual and institutional distinctions between concessions and public–private partnerships, emphasizing their respective roles in the provision of public infrastructure and services.</w:t>
      </w:r>
    </w:p>
    <w:p w14:paraId="69B6D3FD" w14:textId="0F7ACA0C" w:rsidR="004075FA" w:rsidRPr="004075FA" w:rsidRDefault="004075FA" w:rsidP="004075FA">
      <w:pPr>
        <w:pStyle w:val="NormalWeb"/>
        <w:spacing w:before="0" w:beforeAutospacing="0" w:after="0" w:afterAutospacing="0"/>
        <w:ind w:left="142" w:right="57"/>
        <w:jc w:val="both"/>
        <w:rPr>
          <w:color w:val="000000"/>
          <w:sz w:val="22"/>
          <w:szCs w:val="22"/>
        </w:rPr>
      </w:pPr>
      <w:r w:rsidRPr="004075FA">
        <w:rPr>
          <w:color w:val="000000"/>
          <w:sz w:val="22"/>
          <w:szCs w:val="22"/>
        </w:rPr>
        <w:t>Future research may build on this qualitative analysis by examining empirical outcomes of public–private collaboration across different European sectors and national contexts.</w:t>
      </w:r>
    </w:p>
    <w:p w14:paraId="6B3FC530" w14:textId="77777777" w:rsidR="004075FA" w:rsidRPr="004075FA" w:rsidRDefault="004075FA" w:rsidP="004075FA">
      <w:pPr>
        <w:spacing w:before="0" w:beforeAutospacing="0" w:after="0" w:afterAutospacing="0" w:line="240" w:lineRule="auto"/>
        <w:ind w:left="142" w:right="57"/>
        <w:jc w:val="both"/>
        <w:rPr>
          <w:b/>
          <w:bCs/>
          <w:sz w:val="22"/>
          <w:szCs w:val="22"/>
        </w:rPr>
      </w:pPr>
    </w:p>
    <w:p w14:paraId="31DFE08F" w14:textId="6A3C78B8" w:rsidR="006430E4" w:rsidRPr="00064F4D" w:rsidRDefault="004075FA" w:rsidP="00815EFD">
      <w:pPr>
        <w:pStyle w:val="ListParagraph"/>
        <w:numPr>
          <w:ilvl w:val="0"/>
          <w:numId w:val="4"/>
        </w:numPr>
        <w:spacing w:before="0" w:beforeAutospacing="0" w:after="0" w:afterAutospacing="0" w:line="240" w:lineRule="auto"/>
        <w:ind w:left="709" w:right="57" w:hanging="567"/>
        <w:jc w:val="both"/>
        <w:rPr>
          <w:b/>
          <w:bCs/>
          <w:sz w:val="22"/>
          <w:szCs w:val="22"/>
        </w:rPr>
      </w:pPr>
      <w:proofErr w:type="spellStart"/>
      <w:r w:rsidRPr="00064F4D">
        <w:rPr>
          <w:b/>
          <w:bCs/>
          <w:sz w:val="22"/>
          <w:szCs w:val="22"/>
        </w:rPr>
        <w:t>References</w:t>
      </w:r>
      <w:proofErr w:type="spellEnd"/>
    </w:p>
    <w:p w14:paraId="4A29D53A" w14:textId="3391D6FC" w:rsidR="00641A1A" w:rsidRPr="00641A1A" w:rsidRDefault="00641A1A" w:rsidP="00641A1A">
      <w:pPr>
        <w:pStyle w:val="ListParagraph"/>
        <w:spacing w:before="0" w:beforeAutospacing="0" w:after="0" w:afterAutospacing="0" w:line="240" w:lineRule="auto"/>
        <w:ind w:left="142" w:right="57"/>
        <w:jc w:val="both"/>
        <w:rPr>
          <w:sz w:val="22"/>
          <w:szCs w:val="22"/>
        </w:rPr>
      </w:pPr>
      <w:r w:rsidRPr="00641A1A">
        <w:rPr>
          <w:sz w:val="22"/>
          <w:szCs w:val="22"/>
        </w:rPr>
        <w:t xml:space="preserve">• European </w:t>
      </w:r>
      <w:proofErr w:type="spellStart"/>
      <w:r w:rsidRPr="00641A1A">
        <w:rPr>
          <w:sz w:val="22"/>
          <w:szCs w:val="22"/>
        </w:rPr>
        <w:t>Commission</w:t>
      </w:r>
      <w:proofErr w:type="spellEnd"/>
      <w:r w:rsidRPr="00641A1A">
        <w:rPr>
          <w:sz w:val="22"/>
          <w:szCs w:val="22"/>
        </w:rPr>
        <w:t xml:space="preserve">, 2004, </w:t>
      </w:r>
      <w:r w:rsidRPr="006B4C82">
        <w:rPr>
          <w:i/>
          <w:iCs/>
          <w:sz w:val="22"/>
          <w:szCs w:val="22"/>
        </w:rPr>
        <w:t xml:space="preserve">Green </w:t>
      </w:r>
      <w:proofErr w:type="spellStart"/>
      <w:r w:rsidRPr="006B4C82">
        <w:rPr>
          <w:i/>
          <w:iCs/>
          <w:sz w:val="22"/>
          <w:szCs w:val="22"/>
        </w:rPr>
        <w:t>Paper</w:t>
      </w:r>
      <w:proofErr w:type="spellEnd"/>
      <w:r w:rsidRPr="006B4C82">
        <w:rPr>
          <w:i/>
          <w:iCs/>
          <w:sz w:val="22"/>
          <w:szCs w:val="22"/>
        </w:rPr>
        <w:t xml:space="preserve"> on Public-Private </w:t>
      </w:r>
      <w:proofErr w:type="spellStart"/>
      <w:r w:rsidRPr="006B4C82">
        <w:rPr>
          <w:i/>
          <w:iCs/>
          <w:sz w:val="22"/>
          <w:szCs w:val="22"/>
        </w:rPr>
        <w:t>Partnerships</w:t>
      </w:r>
      <w:proofErr w:type="spellEnd"/>
      <w:r w:rsidRPr="006B4C82">
        <w:rPr>
          <w:i/>
          <w:iCs/>
          <w:sz w:val="22"/>
          <w:szCs w:val="22"/>
        </w:rPr>
        <w:t xml:space="preserve"> </w:t>
      </w:r>
      <w:proofErr w:type="spellStart"/>
      <w:r w:rsidRPr="006B4C82">
        <w:rPr>
          <w:i/>
          <w:iCs/>
          <w:sz w:val="22"/>
          <w:szCs w:val="22"/>
        </w:rPr>
        <w:t>and</w:t>
      </w:r>
      <w:proofErr w:type="spellEnd"/>
      <w:r w:rsidRPr="006B4C82">
        <w:rPr>
          <w:i/>
          <w:iCs/>
          <w:sz w:val="22"/>
          <w:szCs w:val="22"/>
        </w:rPr>
        <w:t xml:space="preserve"> </w:t>
      </w:r>
      <w:proofErr w:type="spellStart"/>
      <w:r w:rsidRPr="006B4C82">
        <w:rPr>
          <w:i/>
          <w:iCs/>
          <w:sz w:val="22"/>
          <w:szCs w:val="22"/>
        </w:rPr>
        <w:t>Community</w:t>
      </w:r>
      <w:proofErr w:type="spellEnd"/>
      <w:r w:rsidRPr="006B4C82">
        <w:rPr>
          <w:i/>
          <w:iCs/>
          <w:sz w:val="22"/>
          <w:szCs w:val="22"/>
        </w:rPr>
        <w:t xml:space="preserve"> Law on Public </w:t>
      </w:r>
      <w:proofErr w:type="spellStart"/>
      <w:r w:rsidRPr="006B4C82">
        <w:rPr>
          <w:i/>
          <w:iCs/>
          <w:sz w:val="22"/>
          <w:szCs w:val="22"/>
        </w:rPr>
        <w:t>Contracts</w:t>
      </w:r>
      <w:proofErr w:type="spellEnd"/>
      <w:r w:rsidRPr="006B4C82">
        <w:rPr>
          <w:i/>
          <w:iCs/>
          <w:sz w:val="22"/>
          <w:szCs w:val="22"/>
        </w:rPr>
        <w:t xml:space="preserve"> </w:t>
      </w:r>
      <w:proofErr w:type="spellStart"/>
      <w:r w:rsidRPr="006B4C82">
        <w:rPr>
          <w:i/>
          <w:iCs/>
          <w:sz w:val="22"/>
          <w:szCs w:val="22"/>
        </w:rPr>
        <w:t>and</w:t>
      </w:r>
      <w:proofErr w:type="spellEnd"/>
      <w:r w:rsidRPr="006B4C82">
        <w:rPr>
          <w:i/>
          <w:iCs/>
          <w:sz w:val="22"/>
          <w:szCs w:val="22"/>
        </w:rPr>
        <w:t xml:space="preserve"> </w:t>
      </w:r>
      <w:proofErr w:type="spellStart"/>
      <w:r w:rsidRPr="006B4C82">
        <w:rPr>
          <w:i/>
          <w:iCs/>
          <w:sz w:val="22"/>
          <w:szCs w:val="22"/>
        </w:rPr>
        <w:t>Concessions</w:t>
      </w:r>
      <w:proofErr w:type="spellEnd"/>
      <w:r w:rsidRPr="006B4C82">
        <w:rPr>
          <w:i/>
          <w:iCs/>
          <w:sz w:val="22"/>
          <w:szCs w:val="22"/>
        </w:rPr>
        <w:t>.</w:t>
      </w:r>
      <w:r w:rsidRPr="00641A1A">
        <w:rPr>
          <w:sz w:val="22"/>
          <w:szCs w:val="22"/>
        </w:rPr>
        <w:t xml:space="preserve"> Brussels: European </w:t>
      </w:r>
      <w:proofErr w:type="spellStart"/>
      <w:r w:rsidRPr="00641A1A">
        <w:rPr>
          <w:sz w:val="22"/>
          <w:szCs w:val="22"/>
        </w:rPr>
        <w:t>Commission</w:t>
      </w:r>
      <w:proofErr w:type="spellEnd"/>
      <w:r w:rsidRPr="00641A1A">
        <w:rPr>
          <w:sz w:val="22"/>
          <w:szCs w:val="22"/>
        </w:rPr>
        <w:t xml:space="preserve">. </w:t>
      </w:r>
      <w:proofErr w:type="spellStart"/>
      <w:r w:rsidRPr="00641A1A">
        <w:rPr>
          <w:sz w:val="22"/>
          <w:szCs w:val="22"/>
        </w:rPr>
        <w:t>Available</w:t>
      </w:r>
      <w:proofErr w:type="spellEnd"/>
      <w:r w:rsidRPr="00641A1A">
        <w:rPr>
          <w:sz w:val="22"/>
          <w:szCs w:val="22"/>
        </w:rPr>
        <w:t xml:space="preserve"> at: https://eur-lex.europa.eu/legal-content/EN/TXT/?uri=celex%3A52004DC0327 (</w:t>
      </w:r>
      <w:proofErr w:type="spellStart"/>
      <w:r w:rsidRPr="00641A1A">
        <w:rPr>
          <w:sz w:val="22"/>
          <w:szCs w:val="22"/>
        </w:rPr>
        <w:t>Accessed</w:t>
      </w:r>
      <w:proofErr w:type="spellEnd"/>
      <w:r w:rsidRPr="00641A1A">
        <w:rPr>
          <w:sz w:val="22"/>
          <w:szCs w:val="22"/>
        </w:rPr>
        <w:t xml:space="preserve">: 8 </w:t>
      </w:r>
      <w:proofErr w:type="spellStart"/>
      <w:r w:rsidRPr="00641A1A">
        <w:rPr>
          <w:sz w:val="22"/>
          <w:szCs w:val="22"/>
        </w:rPr>
        <w:t>December</w:t>
      </w:r>
      <w:proofErr w:type="spellEnd"/>
      <w:r w:rsidRPr="00641A1A">
        <w:rPr>
          <w:sz w:val="22"/>
          <w:szCs w:val="22"/>
        </w:rPr>
        <w:t xml:space="preserve"> 2025).</w:t>
      </w:r>
    </w:p>
    <w:p w14:paraId="41E5E949" w14:textId="77777777" w:rsidR="00641A1A" w:rsidRPr="00641A1A" w:rsidRDefault="00641A1A" w:rsidP="00641A1A">
      <w:pPr>
        <w:pStyle w:val="ListParagraph"/>
        <w:spacing w:before="0" w:beforeAutospacing="0" w:after="0" w:afterAutospacing="0" w:line="240" w:lineRule="auto"/>
        <w:ind w:left="142" w:right="57"/>
        <w:jc w:val="both"/>
        <w:rPr>
          <w:sz w:val="22"/>
          <w:szCs w:val="22"/>
        </w:rPr>
      </w:pPr>
      <w:r w:rsidRPr="00641A1A">
        <w:rPr>
          <w:sz w:val="22"/>
          <w:szCs w:val="22"/>
        </w:rPr>
        <w:t xml:space="preserve"> </w:t>
      </w:r>
    </w:p>
    <w:p w14:paraId="2C337FD8" w14:textId="60663E92" w:rsidR="00641A1A" w:rsidRPr="00641A1A" w:rsidRDefault="00641A1A" w:rsidP="00641A1A">
      <w:pPr>
        <w:pStyle w:val="ListParagraph"/>
        <w:spacing w:before="0" w:beforeAutospacing="0" w:after="0" w:afterAutospacing="0" w:line="240" w:lineRule="auto"/>
        <w:ind w:left="142" w:right="57"/>
        <w:jc w:val="both"/>
        <w:rPr>
          <w:sz w:val="22"/>
          <w:szCs w:val="22"/>
        </w:rPr>
      </w:pPr>
      <w:r w:rsidRPr="00641A1A">
        <w:rPr>
          <w:sz w:val="22"/>
          <w:szCs w:val="22"/>
        </w:rPr>
        <w:lastRenderedPageBreak/>
        <w:t xml:space="preserve">• European </w:t>
      </w:r>
      <w:proofErr w:type="spellStart"/>
      <w:r w:rsidRPr="00641A1A">
        <w:rPr>
          <w:sz w:val="22"/>
          <w:szCs w:val="22"/>
        </w:rPr>
        <w:t>Commission</w:t>
      </w:r>
      <w:proofErr w:type="spellEnd"/>
      <w:r w:rsidRPr="00641A1A">
        <w:rPr>
          <w:sz w:val="22"/>
          <w:szCs w:val="22"/>
        </w:rPr>
        <w:t xml:space="preserve">, 2008, </w:t>
      </w:r>
      <w:proofErr w:type="spellStart"/>
      <w:r w:rsidRPr="006B4C82">
        <w:rPr>
          <w:i/>
          <w:iCs/>
          <w:sz w:val="22"/>
          <w:szCs w:val="22"/>
        </w:rPr>
        <w:t>Community</w:t>
      </w:r>
      <w:proofErr w:type="spellEnd"/>
      <w:r w:rsidRPr="006B4C82">
        <w:rPr>
          <w:i/>
          <w:iCs/>
          <w:sz w:val="22"/>
          <w:szCs w:val="22"/>
        </w:rPr>
        <w:t xml:space="preserve"> </w:t>
      </w:r>
      <w:proofErr w:type="spellStart"/>
      <w:r w:rsidRPr="006B4C82">
        <w:rPr>
          <w:i/>
          <w:iCs/>
          <w:sz w:val="22"/>
          <w:szCs w:val="22"/>
        </w:rPr>
        <w:t>law</w:t>
      </w:r>
      <w:proofErr w:type="spellEnd"/>
      <w:r w:rsidRPr="006B4C82">
        <w:rPr>
          <w:i/>
          <w:iCs/>
          <w:sz w:val="22"/>
          <w:szCs w:val="22"/>
        </w:rPr>
        <w:t xml:space="preserve"> on public </w:t>
      </w:r>
      <w:proofErr w:type="spellStart"/>
      <w:r w:rsidRPr="006B4C82">
        <w:rPr>
          <w:i/>
          <w:iCs/>
          <w:sz w:val="22"/>
          <w:szCs w:val="22"/>
        </w:rPr>
        <w:t>procurement</w:t>
      </w:r>
      <w:proofErr w:type="spellEnd"/>
      <w:r w:rsidRPr="006B4C82">
        <w:rPr>
          <w:i/>
          <w:iCs/>
          <w:sz w:val="22"/>
          <w:szCs w:val="22"/>
        </w:rPr>
        <w:t xml:space="preserve"> </w:t>
      </w:r>
      <w:proofErr w:type="spellStart"/>
      <w:r w:rsidRPr="006B4C82">
        <w:rPr>
          <w:i/>
          <w:iCs/>
          <w:sz w:val="22"/>
          <w:szCs w:val="22"/>
        </w:rPr>
        <w:t>and</w:t>
      </w:r>
      <w:proofErr w:type="spellEnd"/>
      <w:r w:rsidRPr="006B4C82">
        <w:rPr>
          <w:i/>
          <w:iCs/>
          <w:sz w:val="22"/>
          <w:szCs w:val="22"/>
        </w:rPr>
        <w:t xml:space="preserve"> </w:t>
      </w:r>
      <w:proofErr w:type="spellStart"/>
      <w:r w:rsidRPr="006B4C82">
        <w:rPr>
          <w:i/>
          <w:iCs/>
          <w:sz w:val="22"/>
          <w:szCs w:val="22"/>
        </w:rPr>
        <w:t>concessions</w:t>
      </w:r>
      <w:proofErr w:type="spellEnd"/>
      <w:r w:rsidRPr="006B4C82">
        <w:rPr>
          <w:i/>
          <w:iCs/>
          <w:sz w:val="22"/>
          <w:szCs w:val="22"/>
        </w:rPr>
        <w:t xml:space="preserve"> </w:t>
      </w:r>
      <w:proofErr w:type="spellStart"/>
      <w:r w:rsidRPr="006B4C82">
        <w:rPr>
          <w:i/>
          <w:iCs/>
          <w:sz w:val="22"/>
          <w:szCs w:val="22"/>
        </w:rPr>
        <w:t>to</w:t>
      </w:r>
      <w:proofErr w:type="spellEnd"/>
      <w:r w:rsidRPr="006B4C82">
        <w:rPr>
          <w:i/>
          <w:iCs/>
          <w:sz w:val="22"/>
          <w:szCs w:val="22"/>
        </w:rPr>
        <w:t xml:space="preserve"> </w:t>
      </w:r>
      <w:proofErr w:type="spellStart"/>
      <w:r w:rsidRPr="006B4C82">
        <w:rPr>
          <w:i/>
          <w:iCs/>
          <w:sz w:val="22"/>
          <w:szCs w:val="22"/>
        </w:rPr>
        <w:t>institutionalised</w:t>
      </w:r>
      <w:proofErr w:type="spellEnd"/>
      <w:r w:rsidRPr="006B4C82">
        <w:rPr>
          <w:i/>
          <w:iCs/>
          <w:sz w:val="22"/>
          <w:szCs w:val="22"/>
        </w:rPr>
        <w:t xml:space="preserve"> public-private </w:t>
      </w:r>
      <w:proofErr w:type="spellStart"/>
      <w:r w:rsidRPr="006B4C82">
        <w:rPr>
          <w:i/>
          <w:iCs/>
          <w:sz w:val="22"/>
          <w:szCs w:val="22"/>
        </w:rPr>
        <w:t>partnerships</w:t>
      </w:r>
      <w:proofErr w:type="spellEnd"/>
      <w:r w:rsidRPr="006B4C82">
        <w:rPr>
          <w:i/>
          <w:iCs/>
          <w:sz w:val="22"/>
          <w:szCs w:val="22"/>
        </w:rPr>
        <w:t xml:space="preserve"> (IPPP)</w:t>
      </w:r>
      <w:r w:rsidRPr="00641A1A">
        <w:rPr>
          <w:sz w:val="22"/>
          <w:szCs w:val="22"/>
        </w:rPr>
        <w:t xml:space="preserve"> (2008/C 91/02). </w:t>
      </w:r>
      <w:proofErr w:type="spellStart"/>
      <w:r w:rsidRPr="00641A1A">
        <w:rPr>
          <w:sz w:val="22"/>
          <w:szCs w:val="22"/>
        </w:rPr>
        <w:t>Official</w:t>
      </w:r>
      <w:proofErr w:type="spellEnd"/>
      <w:r w:rsidRPr="00641A1A">
        <w:rPr>
          <w:sz w:val="22"/>
          <w:szCs w:val="22"/>
        </w:rPr>
        <w:t xml:space="preserve"> Journal of </w:t>
      </w:r>
      <w:proofErr w:type="spellStart"/>
      <w:r w:rsidRPr="00641A1A">
        <w:rPr>
          <w:sz w:val="22"/>
          <w:szCs w:val="22"/>
        </w:rPr>
        <w:t>the</w:t>
      </w:r>
      <w:proofErr w:type="spellEnd"/>
      <w:r w:rsidRPr="00641A1A">
        <w:rPr>
          <w:sz w:val="22"/>
          <w:szCs w:val="22"/>
        </w:rPr>
        <w:t xml:space="preserve"> European Union, C 91, 12 April</w:t>
      </w:r>
      <w:r w:rsidR="006B4C82">
        <w:rPr>
          <w:sz w:val="22"/>
          <w:szCs w:val="22"/>
        </w:rPr>
        <w:t xml:space="preserve">. </w:t>
      </w:r>
      <w:proofErr w:type="spellStart"/>
      <w:r w:rsidR="006B4C82">
        <w:rPr>
          <w:sz w:val="22"/>
          <w:szCs w:val="22"/>
        </w:rPr>
        <w:t>Available</w:t>
      </w:r>
      <w:proofErr w:type="spellEnd"/>
      <w:r w:rsidR="006B4C82">
        <w:rPr>
          <w:sz w:val="22"/>
          <w:szCs w:val="22"/>
        </w:rPr>
        <w:t xml:space="preserve"> at: </w:t>
      </w:r>
      <w:r w:rsidR="006B4C82" w:rsidRPr="006B4C82">
        <w:rPr>
          <w:sz w:val="22"/>
          <w:szCs w:val="22"/>
        </w:rPr>
        <w:t>https://eur-lex.europa.eu/EN/legal-content/summary/rules-applicable-to-institutionalised-public-private-partnerships-ippp.html</w:t>
      </w:r>
      <w:r w:rsidR="006B4C82" w:rsidRPr="006B4C82">
        <w:rPr>
          <w:sz w:val="22"/>
          <w:szCs w:val="22"/>
        </w:rPr>
        <w:t xml:space="preserve"> </w:t>
      </w:r>
      <w:r w:rsidRPr="00641A1A">
        <w:rPr>
          <w:sz w:val="22"/>
          <w:szCs w:val="22"/>
        </w:rPr>
        <w:t>(</w:t>
      </w:r>
      <w:proofErr w:type="spellStart"/>
      <w:r w:rsidRPr="00641A1A">
        <w:rPr>
          <w:sz w:val="22"/>
          <w:szCs w:val="22"/>
        </w:rPr>
        <w:t>Accessed</w:t>
      </w:r>
      <w:proofErr w:type="spellEnd"/>
      <w:r w:rsidRPr="00641A1A">
        <w:rPr>
          <w:sz w:val="22"/>
          <w:szCs w:val="22"/>
        </w:rPr>
        <w:t xml:space="preserve">: </w:t>
      </w:r>
      <w:r w:rsidR="0084727E">
        <w:rPr>
          <w:sz w:val="22"/>
          <w:szCs w:val="22"/>
        </w:rPr>
        <w:t>9</w:t>
      </w:r>
      <w:r w:rsidRPr="00641A1A">
        <w:rPr>
          <w:sz w:val="22"/>
          <w:szCs w:val="22"/>
        </w:rPr>
        <w:t xml:space="preserve"> </w:t>
      </w:r>
      <w:proofErr w:type="spellStart"/>
      <w:r w:rsidRPr="00641A1A">
        <w:rPr>
          <w:sz w:val="22"/>
          <w:szCs w:val="22"/>
        </w:rPr>
        <w:t>December</w:t>
      </w:r>
      <w:proofErr w:type="spellEnd"/>
      <w:r w:rsidRPr="00641A1A">
        <w:rPr>
          <w:sz w:val="22"/>
          <w:szCs w:val="22"/>
        </w:rPr>
        <w:t xml:space="preserve"> 2025).</w:t>
      </w:r>
    </w:p>
    <w:p w14:paraId="4EBC51A4" w14:textId="77777777" w:rsidR="00641A1A" w:rsidRPr="00641A1A" w:rsidRDefault="00641A1A" w:rsidP="00641A1A">
      <w:pPr>
        <w:pStyle w:val="ListParagraph"/>
        <w:spacing w:before="0" w:beforeAutospacing="0" w:after="0" w:afterAutospacing="0" w:line="240" w:lineRule="auto"/>
        <w:ind w:left="142" w:right="57"/>
        <w:jc w:val="both"/>
        <w:rPr>
          <w:sz w:val="22"/>
          <w:szCs w:val="22"/>
        </w:rPr>
      </w:pPr>
      <w:r w:rsidRPr="00641A1A">
        <w:rPr>
          <w:sz w:val="22"/>
          <w:szCs w:val="22"/>
        </w:rPr>
        <w:t xml:space="preserve"> </w:t>
      </w:r>
    </w:p>
    <w:p w14:paraId="2994E80E" w14:textId="4402917A" w:rsidR="00641A1A" w:rsidRPr="00641A1A" w:rsidRDefault="00641A1A" w:rsidP="00641A1A">
      <w:pPr>
        <w:pStyle w:val="ListParagraph"/>
        <w:spacing w:before="0" w:beforeAutospacing="0" w:after="0" w:afterAutospacing="0" w:line="240" w:lineRule="auto"/>
        <w:ind w:left="142" w:right="57"/>
        <w:jc w:val="both"/>
        <w:rPr>
          <w:sz w:val="22"/>
          <w:szCs w:val="22"/>
        </w:rPr>
      </w:pPr>
      <w:r w:rsidRPr="00641A1A">
        <w:rPr>
          <w:sz w:val="22"/>
          <w:szCs w:val="22"/>
        </w:rPr>
        <w:t xml:space="preserve">• European </w:t>
      </w:r>
      <w:proofErr w:type="spellStart"/>
      <w:r w:rsidRPr="00641A1A">
        <w:rPr>
          <w:sz w:val="22"/>
          <w:szCs w:val="22"/>
        </w:rPr>
        <w:t>Court</w:t>
      </w:r>
      <w:proofErr w:type="spellEnd"/>
      <w:r w:rsidRPr="00641A1A">
        <w:rPr>
          <w:sz w:val="22"/>
          <w:szCs w:val="22"/>
        </w:rPr>
        <w:t xml:space="preserve"> of </w:t>
      </w:r>
      <w:proofErr w:type="spellStart"/>
      <w:r w:rsidRPr="00641A1A">
        <w:rPr>
          <w:sz w:val="22"/>
          <w:szCs w:val="22"/>
        </w:rPr>
        <w:t>Auditors</w:t>
      </w:r>
      <w:proofErr w:type="spellEnd"/>
      <w:r w:rsidRPr="00641A1A">
        <w:rPr>
          <w:sz w:val="22"/>
          <w:szCs w:val="22"/>
        </w:rPr>
        <w:t xml:space="preserve">, 2018, </w:t>
      </w:r>
      <w:r w:rsidRPr="006B4C82">
        <w:rPr>
          <w:i/>
          <w:iCs/>
          <w:sz w:val="22"/>
          <w:szCs w:val="22"/>
        </w:rPr>
        <w:t xml:space="preserve">Public-private </w:t>
      </w:r>
      <w:proofErr w:type="spellStart"/>
      <w:r w:rsidRPr="006B4C82">
        <w:rPr>
          <w:i/>
          <w:iCs/>
          <w:sz w:val="22"/>
          <w:szCs w:val="22"/>
        </w:rPr>
        <w:t>partnerships</w:t>
      </w:r>
      <w:proofErr w:type="spellEnd"/>
      <w:r w:rsidRPr="006B4C82">
        <w:rPr>
          <w:i/>
          <w:iCs/>
          <w:sz w:val="22"/>
          <w:szCs w:val="22"/>
        </w:rPr>
        <w:t xml:space="preserve"> in </w:t>
      </w:r>
      <w:proofErr w:type="spellStart"/>
      <w:r w:rsidRPr="006B4C82">
        <w:rPr>
          <w:i/>
          <w:iCs/>
          <w:sz w:val="22"/>
          <w:szCs w:val="22"/>
        </w:rPr>
        <w:t>the</w:t>
      </w:r>
      <w:proofErr w:type="spellEnd"/>
      <w:r w:rsidRPr="006B4C82">
        <w:rPr>
          <w:i/>
          <w:iCs/>
          <w:sz w:val="22"/>
          <w:szCs w:val="22"/>
        </w:rPr>
        <w:t xml:space="preserve"> EU: </w:t>
      </w:r>
      <w:proofErr w:type="spellStart"/>
      <w:r w:rsidRPr="006B4C82">
        <w:rPr>
          <w:i/>
          <w:iCs/>
          <w:sz w:val="22"/>
          <w:szCs w:val="22"/>
        </w:rPr>
        <w:t>Widespread</w:t>
      </w:r>
      <w:proofErr w:type="spellEnd"/>
      <w:r w:rsidRPr="006B4C82">
        <w:rPr>
          <w:i/>
          <w:iCs/>
          <w:sz w:val="22"/>
          <w:szCs w:val="22"/>
        </w:rPr>
        <w:t xml:space="preserve"> </w:t>
      </w:r>
      <w:proofErr w:type="spellStart"/>
      <w:r w:rsidRPr="006B4C82">
        <w:rPr>
          <w:i/>
          <w:iCs/>
          <w:sz w:val="22"/>
          <w:szCs w:val="22"/>
        </w:rPr>
        <w:t>shortcomings</w:t>
      </w:r>
      <w:proofErr w:type="spellEnd"/>
      <w:r w:rsidRPr="006B4C82">
        <w:rPr>
          <w:i/>
          <w:iCs/>
          <w:sz w:val="22"/>
          <w:szCs w:val="22"/>
        </w:rPr>
        <w:t xml:space="preserve"> </w:t>
      </w:r>
      <w:proofErr w:type="spellStart"/>
      <w:r w:rsidRPr="006B4C82">
        <w:rPr>
          <w:i/>
          <w:iCs/>
          <w:sz w:val="22"/>
          <w:szCs w:val="22"/>
        </w:rPr>
        <w:t>and</w:t>
      </w:r>
      <w:proofErr w:type="spellEnd"/>
      <w:r w:rsidRPr="006B4C82">
        <w:rPr>
          <w:i/>
          <w:iCs/>
          <w:sz w:val="22"/>
          <w:szCs w:val="22"/>
        </w:rPr>
        <w:t xml:space="preserve"> limited </w:t>
      </w:r>
      <w:proofErr w:type="spellStart"/>
      <w:r w:rsidRPr="006B4C82">
        <w:rPr>
          <w:i/>
          <w:iCs/>
          <w:sz w:val="22"/>
          <w:szCs w:val="22"/>
        </w:rPr>
        <w:t>benefits</w:t>
      </w:r>
      <w:proofErr w:type="spellEnd"/>
      <w:r w:rsidRPr="00641A1A">
        <w:rPr>
          <w:sz w:val="22"/>
          <w:szCs w:val="22"/>
        </w:rPr>
        <w:t xml:space="preserve">. Luxembourg: </w:t>
      </w:r>
      <w:proofErr w:type="spellStart"/>
      <w:r w:rsidRPr="00641A1A">
        <w:rPr>
          <w:sz w:val="22"/>
          <w:szCs w:val="22"/>
        </w:rPr>
        <w:t>Publications</w:t>
      </w:r>
      <w:proofErr w:type="spellEnd"/>
      <w:r w:rsidRPr="00641A1A">
        <w:rPr>
          <w:sz w:val="22"/>
          <w:szCs w:val="22"/>
        </w:rPr>
        <w:t xml:space="preserve"> Office of </w:t>
      </w:r>
      <w:proofErr w:type="spellStart"/>
      <w:r w:rsidRPr="00641A1A">
        <w:rPr>
          <w:sz w:val="22"/>
          <w:szCs w:val="22"/>
        </w:rPr>
        <w:t>the</w:t>
      </w:r>
      <w:proofErr w:type="spellEnd"/>
      <w:r w:rsidRPr="00641A1A">
        <w:rPr>
          <w:sz w:val="22"/>
          <w:szCs w:val="22"/>
        </w:rPr>
        <w:t xml:space="preserve"> European Union. </w:t>
      </w:r>
      <w:proofErr w:type="spellStart"/>
      <w:r w:rsidRPr="00641A1A">
        <w:rPr>
          <w:sz w:val="22"/>
          <w:szCs w:val="22"/>
        </w:rPr>
        <w:t>Available</w:t>
      </w:r>
      <w:proofErr w:type="spellEnd"/>
      <w:r w:rsidRPr="00641A1A">
        <w:rPr>
          <w:sz w:val="22"/>
          <w:szCs w:val="22"/>
        </w:rPr>
        <w:t xml:space="preserve"> at: https://op.europa.eu/webpub/eca/special-reports/ppp-9-2018/en/ (</w:t>
      </w:r>
      <w:proofErr w:type="spellStart"/>
      <w:r w:rsidRPr="00641A1A">
        <w:rPr>
          <w:sz w:val="22"/>
          <w:szCs w:val="22"/>
        </w:rPr>
        <w:t>Accessed</w:t>
      </w:r>
      <w:proofErr w:type="spellEnd"/>
      <w:r w:rsidRPr="00641A1A">
        <w:rPr>
          <w:sz w:val="22"/>
          <w:szCs w:val="22"/>
        </w:rPr>
        <w:t xml:space="preserve">: </w:t>
      </w:r>
      <w:r w:rsidR="0084727E">
        <w:rPr>
          <w:sz w:val="22"/>
          <w:szCs w:val="22"/>
        </w:rPr>
        <w:t>8</w:t>
      </w:r>
      <w:r w:rsidRPr="00641A1A">
        <w:rPr>
          <w:sz w:val="22"/>
          <w:szCs w:val="22"/>
        </w:rPr>
        <w:t xml:space="preserve"> </w:t>
      </w:r>
      <w:proofErr w:type="spellStart"/>
      <w:r w:rsidRPr="00641A1A">
        <w:rPr>
          <w:sz w:val="22"/>
          <w:szCs w:val="22"/>
        </w:rPr>
        <w:t>December</w:t>
      </w:r>
      <w:proofErr w:type="spellEnd"/>
      <w:r w:rsidRPr="00641A1A">
        <w:rPr>
          <w:sz w:val="22"/>
          <w:szCs w:val="22"/>
        </w:rPr>
        <w:t xml:space="preserve"> 2025).</w:t>
      </w:r>
    </w:p>
    <w:p w14:paraId="50973501" w14:textId="77777777" w:rsidR="00641A1A" w:rsidRPr="00641A1A" w:rsidRDefault="00641A1A" w:rsidP="00641A1A">
      <w:pPr>
        <w:pStyle w:val="ListParagraph"/>
        <w:spacing w:before="0" w:beforeAutospacing="0" w:after="0" w:afterAutospacing="0" w:line="240" w:lineRule="auto"/>
        <w:ind w:left="142" w:right="57"/>
        <w:jc w:val="both"/>
        <w:rPr>
          <w:sz w:val="22"/>
          <w:szCs w:val="22"/>
        </w:rPr>
      </w:pPr>
      <w:r w:rsidRPr="00641A1A">
        <w:rPr>
          <w:sz w:val="22"/>
          <w:szCs w:val="22"/>
        </w:rPr>
        <w:t xml:space="preserve"> </w:t>
      </w:r>
    </w:p>
    <w:p w14:paraId="53D951FC" w14:textId="0F9F90C9" w:rsidR="00641A1A" w:rsidRPr="00641A1A" w:rsidRDefault="00641A1A" w:rsidP="00641A1A">
      <w:pPr>
        <w:pStyle w:val="ListParagraph"/>
        <w:spacing w:before="0" w:beforeAutospacing="0" w:after="0" w:afterAutospacing="0" w:line="240" w:lineRule="auto"/>
        <w:ind w:left="142" w:right="57"/>
        <w:jc w:val="both"/>
        <w:rPr>
          <w:sz w:val="22"/>
          <w:szCs w:val="22"/>
        </w:rPr>
      </w:pPr>
      <w:r w:rsidRPr="00641A1A">
        <w:rPr>
          <w:sz w:val="22"/>
          <w:szCs w:val="22"/>
        </w:rPr>
        <w:t xml:space="preserve">• </w:t>
      </w:r>
      <w:proofErr w:type="spellStart"/>
      <w:r w:rsidRPr="00641A1A">
        <w:rPr>
          <w:sz w:val="22"/>
          <w:szCs w:val="22"/>
        </w:rPr>
        <w:t>Levai</w:t>
      </w:r>
      <w:proofErr w:type="spellEnd"/>
      <w:r w:rsidRPr="00641A1A">
        <w:rPr>
          <w:sz w:val="22"/>
          <w:szCs w:val="22"/>
        </w:rPr>
        <w:t xml:space="preserve">, C.M., 2012, </w:t>
      </w:r>
      <w:r w:rsidRPr="006B4C82">
        <w:rPr>
          <w:i/>
          <w:iCs/>
          <w:sz w:val="22"/>
          <w:szCs w:val="22"/>
        </w:rPr>
        <w:t xml:space="preserve">Aspecte </w:t>
      </w:r>
      <w:proofErr w:type="spellStart"/>
      <w:r w:rsidRPr="006B4C82">
        <w:rPr>
          <w:i/>
          <w:iCs/>
          <w:sz w:val="22"/>
          <w:szCs w:val="22"/>
        </w:rPr>
        <w:t>teoretico</w:t>
      </w:r>
      <w:proofErr w:type="spellEnd"/>
      <w:r w:rsidRPr="006B4C82">
        <w:rPr>
          <w:i/>
          <w:iCs/>
          <w:sz w:val="22"/>
          <w:szCs w:val="22"/>
        </w:rPr>
        <w:t xml:space="preserve">-practice privind parteneriatul public-privat în Uniunea Europeană, </w:t>
      </w:r>
      <w:r w:rsidRPr="006B4C82">
        <w:rPr>
          <w:i/>
          <w:iCs/>
          <w:sz w:val="22"/>
          <w:szCs w:val="22"/>
          <w:lang w:val="en-US"/>
        </w:rPr>
        <w:t>[Theoretical and practical aspects regarding public-private partnership in the European Union]</w:t>
      </w:r>
      <w:r w:rsidRPr="00641A1A">
        <w:rPr>
          <w:sz w:val="22"/>
          <w:szCs w:val="22"/>
        </w:rPr>
        <w:t xml:space="preserve"> Acta </w:t>
      </w:r>
      <w:proofErr w:type="spellStart"/>
      <w:r w:rsidRPr="00641A1A">
        <w:rPr>
          <w:sz w:val="22"/>
          <w:szCs w:val="22"/>
        </w:rPr>
        <w:t>Universitatis</w:t>
      </w:r>
      <w:proofErr w:type="spellEnd"/>
      <w:r w:rsidRPr="00641A1A">
        <w:rPr>
          <w:sz w:val="22"/>
          <w:szCs w:val="22"/>
        </w:rPr>
        <w:t xml:space="preserve"> George Bacovia. Juridica, 1, pp. 45-58.</w:t>
      </w:r>
    </w:p>
    <w:p w14:paraId="532B1C98" w14:textId="77777777" w:rsidR="00641A1A" w:rsidRPr="00641A1A" w:rsidRDefault="00641A1A" w:rsidP="00641A1A">
      <w:pPr>
        <w:pStyle w:val="ListParagraph"/>
        <w:spacing w:before="0" w:beforeAutospacing="0" w:after="0" w:afterAutospacing="0" w:line="240" w:lineRule="auto"/>
        <w:ind w:left="142" w:right="57"/>
        <w:jc w:val="both"/>
        <w:rPr>
          <w:sz w:val="22"/>
          <w:szCs w:val="22"/>
        </w:rPr>
      </w:pPr>
      <w:r w:rsidRPr="00641A1A">
        <w:rPr>
          <w:sz w:val="22"/>
          <w:szCs w:val="22"/>
        </w:rPr>
        <w:t xml:space="preserve"> </w:t>
      </w:r>
    </w:p>
    <w:p w14:paraId="44FE4F09" w14:textId="18346158" w:rsidR="00641A1A" w:rsidRPr="006B4C82" w:rsidRDefault="00641A1A" w:rsidP="006B4C82">
      <w:pPr>
        <w:pStyle w:val="ListParagraph"/>
        <w:spacing w:before="0" w:beforeAutospacing="0" w:after="0" w:afterAutospacing="0" w:line="240" w:lineRule="auto"/>
        <w:ind w:left="142" w:right="57"/>
        <w:jc w:val="both"/>
        <w:rPr>
          <w:sz w:val="22"/>
          <w:szCs w:val="22"/>
        </w:rPr>
      </w:pPr>
      <w:r w:rsidRPr="00641A1A">
        <w:rPr>
          <w:sz w:val="22"/>
          <w:szCs w:val="22"/>
        </w:rPr>
        <w:t xml:space="preserve">• </w:t>
      </w:r>
      <w:proofErr w:type="spellStart"/>
      <w:r w:rsidRPr="00641A1A">
        <w:rPr>
          <w:sz w:val="22"/>
          <w:szCs w:val="22"/>
        </w:rPr>
        <w:t>Longa</w:t>
      </w:r>
      <w:proofErr w:type="spellEnd"/>
      <w:r w:rsidRPr="00641A1A">
        <w:rPr>
          <w:sz w:val="22"/>
          <w:szCs w:val="22"/>
        </w:rPr>
        <w:t>, R.D.,</w:t>
      </w:r>
      <w:r>
        <w:rPr>
          <w:sz w:val="22"/>
          <w:szCs w:val="22"/>
        </w:rPr>
        <w:t xml:space="preserve"> </w:t>
      </w:r>
      <w:r w:rsidRPr="00641A1A">
        <w:rPr>
          <w:sz w:val="22"/>
          <w:szCs w:val="22"/>
        </w:rPr>
        <w:t xml:space="preserve">2011, </w:t>
      </w:r>
      <w:r w:rsidRPr="006B4C82">
        <w:rPr>
          <w:i/>
          <w:iCs/>
          <w:sz w:val="22"/>
          <w:szCs w:val="22"/>
        </w:rPr>
        <w:t xml:space="preserve">Urban </w:t>
      </w:r>
      <w:proofErr w:type="spellStart"/>
      <w:r w:rsidRPr="006B4C82">
        <w:rPr>
          <w:i/>
          <w:iCs/>
          <w:sz w:val="22"/>
          <w:szCs w:val="22"/>
        </w:rPr>
        <w:t>Models</w:t>
      </w:r>
      <w:proofErr w:type="spellEnd"/>
      <w:r w:rsidRPr="006B4C82">
        <w:rPr>
          <w:i/>
          <w:iCs/>
          <w:sz w:val="22"/>
          <w:szCs w:val="22"/>
        </w:rPr>
        <w:t xml:space="preserve"> </w:t>
      </w:r>
      <w:proofErr w:type="spellStart"/>
      <w:r w:rsidRPr="006B4C82">
        <w:rPr>
          <w:i/>
          <w:iCs/>
          <w:sz w:val="22"/>
          <w:szCs w:val="22"/>
        </w:rPr>
        <w:t>and</w:t>
      </w:r>
      <w:proofErr w:type="spellEnd"/>
      <w:r w:rsidRPr="006B4C82">
        <w:rPr>
          <w:i/>
          <w:iCs/>
          <w:sz w:val="22"/>
          <w:szCs w:val="22"/>
        </w:rPr>
        <w:t xml:space="preserve"> Public-Private </w:t>
      </w:r>
      <w:proofErr w:type="spellStart"/>
      <w:r w:rsidRPr="006B4C82">
        <w:rPr>
          <w:i/>
          <w:iCs/>
          <w:sz w:val="22"/>
          <w:szCs w:val="22"/>
        </w:rPr>
        <w:t>Partnership</w:t>
      </w:r>
      <w:proofErr w:type="spellEnd"/>
      <w:r w:rsidRPr="00641A1A">
        <w:rPr>
          <w:sz w:val="22"/>
          <w:szCs w:val="22"/>
        </w:rPr>
        <w:t>. Milan: Springer</w:t>
      </w:r>
      <w:r w:rsidR="006B4C82">
        <w:rPr>
          <w:sz w:val="22"/>
          <w:szCs w:val="22"/>
        </w:rPr>
        <w:t xml:space="preserve">, </w:t>
      </w:r>
      <w:proofErr w:type="spellStart"/>
      <w:r w:rsidR="006B4C82">
        <w:rPr>
          <w:sz w:val="22"/>
          <w:szCs w:val="22"/>
        </w:rPr>
        <w:t>Available</w:t>
      </w:r>
      <w:proofErr w:type="spellEnd"/>
      <w:r w:rsidR="006B4C82">
        <w:rPr>
          <w:sz w:val="22"/>
          <w:szCs w:val="22"/>
        </w:rPr>
        <w:t xml:space="preserve"> at: </w:t>
      </w:r>
      <w:hyperlink r:id="rId9" w:history="1">
        <w:r w:rsidR="006B4C82" w:rsidRPr="00901445">
          <w:rPr>
            <w:rStyle w:val="Hyperlink"/>
            <w:sz w:val="22"/>
            <w:szCs w:val="22"/>
          </w:rPr>
          <w:t>https://www.researchgate.net/profile/Remo-Dalla-Longa/publication/302535406_Urban_Models/links/5fea1a97299bf14088562a37/Urban-Models.pdf</w:t>
        </w:r>
      </w:hyperlink>
      <w:r w:rsidR="006B4C82">
        <w:rPr>
          <w:sz w:val="22"/>
          <w:szCs w:val="22"/>
        </w:rPr>
        <w:t>, (</w:t>
      </w:r>
      <w:proofErr w:type="spellStart"/>
      <w:r w:rsidR="006B4C82">
        <w:rPr>
          <w:sz w:val="22"/>
          <w:szCs w:val="22"/>
        </w:rPr>
        <w:t>Accesed</w:t>
      </w:r>
      <w:proofErr w:type="spellEnd"/>
      <w:r w:rsidR="006B4C82">
        <w:rPr>
          <w:sz w:val="22"/>
          <w:szCs w:val="22"/>
        </w:rPr>
        <w:t xml:space="preserve">: 9 </w:t>
      </w:r>
      <w:proofErr w:type="spellStart"/>
      <w:r w:rsidR="006B4C82">
        <w:rPr>
          <w:sz w:val="22"/>
          <w:szCs w:val="22"/>
        </w:rPr>
        <w:t>December</w:t>
      </w:r>
      <w:proofErr w:type="spellEnd"/>
      <w:r w:rsidR="006B4C82">
        <w:rPr>
          <w:sz w:val="22"/>
          <w:szCs w:val="22"/>
        </w:rPr>
        <w:t xml:space="preserve"> 2025) </w:t>
      </w:r>
      <w:r w:rsidRPr="006B4C82">
        <w:rPr>
          <w:sz w:val="22"/>
          <w:szCs w:val="22"/>
        </w:rPr>
        <w:t>https://doi.org/10.1007/978-3-540-70508-6_2</w:t>
      </w:r>
      <w:r w:rsidR="006B4C82">
        <w:rPr>
          <w:sz w:val="22"/>
          <w:szCs w:val="22"/>
        </w:rPr>
        <w:t>.</w:t>
      </w:r>
    </w:p>
    <w:p w14:paraId="6B2AE8CE" w14:textId="77777777" w:rsidR="00641A1A" w:rsidRPr="00641A1A" w:rsidRDefault="00641A1A" w:rsidP="00641A1A">
      <w:pPr>
        <w:pStyle w:val="ListParagraph"/>
        <w:spacing w:before="0" w:beforeAutospacing="0" w:after="0" w:afterAutospacing="0" w:line="240" w:lineRule="auto"/>
        <w:ind w:left="142" w:right="57"/>
        <w:jc w:val="both"/>
        <w:rPr>
          <w:sz w:val="22"/>
          <w:szCs w:val="22"/>
        </w:rPr>
      </w:pPr>
      <w:r w:rsidRPr="00641A1A">
        <w:rPr>
          <w:sz w:val="22"/>
          <w:szCs w:val="22"/>
        </w:rPr>
        <w:t xml:space="preserve"> </w:t>
      </w:r>
    </w:p>
    <w:p w14:paraId="619EA130" w14:textId="1E3DA15B" w:rsidR="00641A1A" w:rsidRPr="006B4C82" w:rsidRDefault="00641A1A" w:rsidP="006B4C82">
      <w:pPr>
        <w:pStyle w:val="ListParagraph"/>
        <w:spacing w:before="0" w:beforeAutospacing="0" w:after="0" w:afterAutospacing="0" w:line="240" w:lineRule="auto"/>
        <w:ind w:left="142" w:right="57"/>
        <w:jc w:val="both"/>
        <w:rPr>
          <w:sz w:val="22"/>
          <w:szCs w:val="22"/>
        </w:rPr>
      </w:pPr>
      <w:r w:rsidRPr="00641A1A">
        <w:rPr>
          <w:sz w:val="22"/>
          <w:szCs w:val="22"/>
        </w:rPr>
        <w:t xml:space="preserve">• </w:t>
      </w:r>
      <w:proofErr w:type="spellStart"/>
      <w:r w:rsidRPr="00641A1A">
        <w:rPr>
          <w:sz w:val="22"/>
          <w:szCs w:val="22"/>
        </w:rPr>
        <w:t>Mittal</w:t>
      </w:r>
      <w:proofErr w:type="spellEnd"/>
      <w:r w:rsidRPr="00641A1A">
        <w:rPr>
          <w:sz w:val="22"/>
          <w:szCs w:val="22"/>
        </w:rPr>
        <w:t xml:space="preserve">, A., </w:t>
      </w:r>
      <w:proofErr w:type="spellStart"/>
      <w:r w:rsidRPr="00641A1A">
        <w:rPr>
          <w:sz w:val="22"/>
          <w:szCs w:val="22"/>
        </w:rPr>
        <w:t>Agrawal</w:t>
      </w:r>
      <w:proofErr w:type="spellEnd"/>
      <w:r w:rsidRPr="00641A1A">
        <w:rPr>
          <w:sz w:val="22"/>
          <w:szCs w:val="22"/>
        </w:rPr>
        <w:t xml:space="preserve">, P. </w:t>
      </w:r>
      <w:proofErr w:type="spellStart"/>
      <w:r w:rsidRPr="00641A1A">
        <w:rPr>
          <w:sz w:val="22"/>
          <w:szCs w:val="22"/>
        </w:rPr>
        <w:t>and</w:t>
      </w:r>
      <w:proofErr w:type="spellEnd"/>
      <w:r w:rsidRPr="00641A1A">
        <w:rPr>
          <w:sz w:val="22"/>
          <w:szCs w:val="22"/>
        </w:rPr>
        <w:t xml:space="preserve"> </w:t>
      </w:r>
      <w:proofErr w:type="spellStart"/>
      <w:r w:rsidRPr="00641A1A">
        <w:rPr>
          <w:sz w:val="22"/>
          <w:szCs w:val="22"/>
        </w:rPr>
        <w:t>Agrawal</w:t>
      </w:r>
      <w:proofErr w:type="spellEnd"/>
      <w:r w:rsidRPr="00641A1A">
        <w:rPr>
          <w:sz w:val="22"/>
          <w:szCs w:val="22"/>
        </w:rPr>
        <w:t xml:space="preserve">, S., 2023, </w:t>
      </w:r>
      <w:proofErr w:type="spellStart"/>
      <w:r w:rsidRPr="003E3C00">
        <w:rPr>
          <w:i/>
          <w:iCs/>
          <w:sz w:val="22"/>
          <w:szCs w:val="22"/>
        </w:rPr>
        <w:t>Hybrid</w:t>
      </w:r>
      <w:proofErr w:type="spellEnd"/>
      <w:r w:rsidRPr="003E3C00">
        <w:rPr>
          <w:i/>
          <w:iCs/>
          <w:sz w:val="22"/>
          <w:szCs w:val="22"/>
        </w:rPr>
        <w:t xml:space="preserve"> </w:t>
      </w:r>
      <w:proofErr w:type="spellStart"/>
      <w:r w:rsidRPr="003E3C00">
        <w:rPr>
          <w:i/>
          <w:iCs/>
          <w:sz w:val="22"/>
          <w:szCs w:val="22"/>
        </w:rPr>
        <w:t>Annuity</w:t>
      </w:r>
      <w:proofErr w:type="spellEnd"/>
      <w:r w:rsidRPr="003E3C00">
        <w:rPr>
          <w:i/>
          <w:iCs/>
          <w:sz w:val="22"/>
          <w:szCs w:val="22"/>
        </w:rPr>
        <w:t xml:space="preserve"> Model (HAM) of </w:t>
      </w:r>
      <w:proofErr w:type="spellStart"/>
      <w:r w:rsidRPr="003E3C00">
        <w:rPr>
          <w:i/>
          <w:iCs/>
          <w:sz w:val="22"/>
          <w:szCs w:val="22"/>
        </w:rPr>
        <w:t>Hybrid</w:t>
      </w:r>
      <w:proofErr w:type="spellEnd"/>
      <w:r w:rsidRPr="003E3C00">
        <w:rPr>
          <w:i/>
          <w:iCs/>
          <w:sz w:val="22"/>
          <w:szCs w:val="22"/>
        </w:rPr>
        <w:t xml:space="preserve"> Public-Private </w:t>
      </w:r>
      <w:proofErr w:type="spellStart"/>
      <w:r w:rsidRPr="003E3C00">
        <w:rPr>
          <w:i/>
          <w:iCs/>
          <w:sz w:val="22"/>
          <w:szCs w:val="22"/>
        </w:rPr>
        <w:t>Partnership</w:t>
      </w:r>
      <w:proofErr w:type="spellEnd"/>
      <w:r w:rsidRPr="003E3C00">
        <w:rPr>
          <w:i/>
          <w:iCs/>
          <w:sz w:val="22"/>
          <w:szCs w:val="22"/>
        </w:rPr>
        <w:t xml:space="preserve"> </w:t>
      </w:r>
      <w:proofErr w:type="spellStart"/>
      <w:r w:rsidRPr="003E3C00">
        <w:rPr>
          <w:i/>
          <w:iCs/>
          <w:sz w:val="22"/>
          <w:szCs w:val="22"/>
        </w:rPr>
        <w:t>Projects</w:t>
      </w:r>
      <w:proofErr w:type="spellEnd"/>
      <w:r w:rsidRPr="003E3C00">
        <w:rPr>
          <w:i/>
          <w:iCs/>
          <w:sz w:val="22"/>
          <w:szCs w:val="22"/>
        </w:rPr>
        <w:t xml:space="preserve">: Contractual, </w:t>
      </w:r>
      <w:proofErr w:type="spellStart"/>
      <w:r w:rsidRPr="003E3C00">
        <w:rPr>
          <w:i/>
          <w:iCs/>
          <w:sz w:val="22"/>
          <w:szCs w:val="22"/>
        </w:rPr>
        <w:t>Financing</w:t>
      </w:r>
      <w:proofErr w:type="spellEnd"/>
      <w:r w:rsidRPr="003E3C00">
        <w:rPr>
          <w:i/>
          <w:iCs/>
          <w:sz w:val="22"/>
          <w:szCs w:val="22"/>
        </w:rPr>
        <w:t xml:space="preserve">, </w:t>
      </w:r>
      <w:proofErr w:type="spellStart"/>
      <w:r w:rsidRPr="003E3C00">
        <w:rPr>
          <w:i/>
          <w:iCs/>
          <w:sz w:val="22"/>
          <w:szCs w:val="22"/>
        </w:rPr>
        <w:t>Tax</w:t>
      </w:r>
      <w:proofErr w:type="spellEnd"/>
      <w:r w:rsidRPr="003E3C00">
        <w:rPr>
          <w:i/>
          <w:iCs/>
          <w:sz w:val="22"/>
          <w:szCs w:val="22"/>
        </w:rPr>
        <w:t xml:space="preserve"> </w:t>
      </w:r>
      <w:proofErr w:type="spellStart"/>
      <w:r w:rsidRPr="003E3C00">
        <w:rPr>
          <w:i/>
          <w:iCs/>
          <w:sz w:val="22"/>
          <w:szCs w:val="22"/>
        </w:rPr>
        <w:t>and</w:t>
      </w:r>
      <w:proofErr w:type="spellEnd"/>
      <w:r w:rsidRPr="003E3C00">
        <w:rPr>
          <w:i/>
          <w:iCs/>
          <w:sz w:val="22"/>
          <w:szCs w:val="22"/>
        </w:rPr>
        <w:t xml:space="preserve"> </w:t>
      </w:r>
      <w:proofErr w:type="spellStart"/>
      <w:r w:rsidRPr="003E3C00">
        <w:rPr>
          <w:i/>
          <w:iCs/>
          <w:sz w:val="22"/>
          <w:szCs w:val="22"/>
        </w:rPr>
        <w:t>Accounting</w:t>
      </w:r>
      <w:proofErr w:type="spellEnd"/>
      <w:r w:rsidRPr="003E3C00">
        <w:rPr>
          <w:i/>
          <w:iCs/>
          <w:sz w:val="22"/>
          <w:szCs w:val="22"/>
        </w:rPr>
        <w:t xml:space="preserve"> </w:t>
      </w:r>
      <w:proofErr w:type="spellStart"/>
      <w:r w:rsidRPr="003E3C00">
        <w:rPr>
          <w:i/>
          <w:iCs/>
          <w:sz w:val="22"/>
          <w:szCs w:val="22"/>
        </w:rPr>
        <w:t>Discussions</w:t>
      </w:r>
      <w:proofErr w:type="spellEnd"/>
      <w:r w:rsidRPr="00641A1A">
        <w:rPr>
          <w:sz w:val="22"/>
          <w:szCs w:val="22"/>
        </w:rPr>
        <w:t xml:space="preserve">. Singapore: Springer </w:t>
      </w:r>
      <w:proofErr w:type="spellStart"/>
      <w:r w:rsidRPr="00641A1A">
        <w:rPr>
          <w:sz w:val="22"/>
          <w:szCs w:val="22"/>
        </w:rPr>
        <w:t>Nature</w:t>
      </w:r>
      <w:proofErr w:type="spellEnd"/>
      <w:r w:rsidRPr="00641A1A">
        <w:rPr>
          <w:sz w:val="22"/>
          <w:szCs w:val="22"/>
        </w:rPr>
        <w:t xml:space="preserve">. </w:t>
      </w:r>
      <w:proofErr w:type="spellStart"/>
      <w:r w:rsidRPr="00641A1A">
        <w:rPr>
          <w:sz w:val="22"/>
          <w:szCs w:val="22"/>
        </w:rPr>
        <w:t>Available</w:t>
      </w:r>
      <w:proofErr w:type="spellEnd"/>
      <w:r w:rsidRPr="00641A1A">
        <w:rPr>
          <w:sz w:val="22"/>
          <w:szCs w:val="22"/>
        </w:rPr>
        <w:t xml:space="preserve"> at: </w:t>
      </w:r>
      <w:hyperlink r:id="rId10" w:history="1">
        <w:r w:rsidR="006B4C82" w:rsidRPr="00901445">
          <w:rPr>
            <w:rStyle w:val="Hyperlink"/>
            <w:sz w:val="22"/>
            <w:szCs w:val="22"/>
          </w:rPr>
          <w:t>https://www.springerprofessional.de/en/hybrid-annuity-model-ham-of-hybrid-public-private-partnership-pr/25197140</w:t>
        </w:r>
      </w:hyperlink>
      <w:r w:rsidR="006B4C82">
        <w:rPr>
          <w:sz w:val="22"/>
          <w:szCs w:val="22"/>
        </w:rPr>
        <w:t xml:space="preserve"> </w:t>
      </w:r>
      <w:r w:rsidR="006B4C82" w:rsidRPr="00641A1A">
        <w:rPr>
          <w:sz w:val="22"/>
          <w:szCs w:val="22"/>
        </w:rPr>
        <w:t>(</w:t>
      </w:r>
      <w:proofErr w:type="spellStart"/>
      <w:r w:rsidR="006B4C82" w:rsidRPr="00641A1A">
        <w:rPr>
          <w:sz w:val="22"/>
          <w:szCs w:val="22"/>
        </w:rPr>
        <w:t>Accessed</w:t>
      </w:r>
      <w:proofErr w:type="spellEnd"/>
      <w:r w:rsidR="006B4C82" w:rsidRPr="00641A1A">
        <w:rPr>
          <w:sz w:val="22"/>
          <w:szCs w:val="22"/>
        </w:rPr>
        <w:t xml:space="preserve">: </w:t>
      </w:r>
      <w:r w:rsidR="006B4C82">
        <w:rPr>
          <w:sz w:val="22"/>
          <w:szCs w:val="22"/>
        </w:rPr>
        <w:t>2</w:t>
      </w:r>
      <w:r w:rsidR="006B4C82" w:rsidRPr="00641A1A">
        <w:rPr>
          <w:sz w:val="22"/>
          <w:szCs w:val="22"/>
        </w:rPr>
        <w:t xml:space="preserve"> </w:t>
      </w:r>
      <w:proofErr w:type="spellStart"/>
      <w:r w:rsidR="006B4C82">
        <w:rPr>
          <w:sz w:val="22"/>
          <w:szCs w:val="22"/>
        </w:rPr>
        <w:t>December</w:t>
      </w:r>
      <w:proofErr w:type="spellEnd"/>
      <w:r w:rsidR="006B4C82">
        <w:rPr>
          <w:sz w:val="22"/>
          <w:szCs w:val="22"/>
        </w:rPr>
        <w:t xml:space="preserve"> </w:t>
      </w:r>
      <w:r w:rsidR="006B4C82" w:rsidRPr="00641A1A">
        <w:rPr>
          <w:sz w:val="22"/>
          <w:szCs w:val="22"/>
        </w:rPr>
        <w:t>202</w:t>
      </w:r>
      <w:r w:rsidR="006B4C82">
        <w:rPr>
          <w:sz w:val="22"/>
          <w:szCs w:val="22"/>
        </w:rPr>
        <w:t>5</w:t>
      </w:r>
      <w:r w:rsidR="006B4C82" w:rsidRPr="00641A1A">
        <w:rPr>
          <w:sz w:val="22"/>
          <w:szCs w:val="22"/>
        </w:rPr>
        <w:t>)</w:t>
      </w:r>
      <w:r w:rsidR="006B4C82">
        <w:rPr>
          <w:sz w:val="22"/>
          <w:szCs w:val="22"/>
        </w:rPr>
        <w:t xml:space="preserve"> </w:t>
      </w:r>
      <w:r w:rsidRPr="006B4C82">
        <w:rPr>
          <w:sz w:val="22"/>
          <w:szCs w:val="22"/>
        </w:rPr>
        <w:t xml:space="preserve">https://doi.org/10.1007/978-981-19-2019-6 </w:t>
      </w:r>
      <w:r w:rsidR="006B4C82">
        <w:rPr>
          <w:sz w:val="22"/>
          <w:szCs w:val="22"/>
        </w:rPr>
        <w:t>.</w:t>
      </w:r>
    </w:p>
    <w:p w14:paraId="1D9A8CA0" w14:textId="62D8D81D" w:rsidR="00641A1A" w:rsidRPr="00641A1A" w:rsidRDefault="00641A1A" w:rsidP="00641A1A">
      <w:pPr>
        <w:pStyle w:val="ListParagraph"/>
        <w:spacing w:before="0" w:beforeAutospacing="0" w:after="0" w:afterAutospacing="0" w:line="240" w:lineRule="auto"/>
        <w:ind w:left="142" w:right="57"/>
        <w:jc w:val="both"/>
        <w:rPr>
          <w:sz w:val="22"/>
          <w:szCs w:val="22"/>
        </w:rPr>
      </w:pPr>
      <w:r w:rsidRPr="00641A1A">
        <w:rPr>
          <w:sz w:val="22"/>
          <w:szCs w:val="22"/>
        </w:rPr>
        <w:t xml:space="preserve">• </w:t>
      </w:r>
      <w:proofErr w:type="spellStart"/>
      <w:r w:rsidRPr="00641A1A">
        <w:rPr>
          <w:sz w:val="22"/>
          <w:szCs w:val="22"/>
        </w:rPr>
        <w:t>Organisation</w:t>
      </w:r>
      <w:proofErr w:type="spellEnd"/>
      <w:r w:rsidRPr="00641A1A">
        <w:rPr>
          <w:sz w:val="22"/>
          <w:szCs w:val="22"/>
        </w:rPr>
        <w:t xml:space="preserve"> for Economic Co-</w:t>
      </w:r>
      <w:proofErr w:type="spellStart"/>
      <w:r w:rsidRPr="00641A1A">
        <w:rPr>
          <w:sz w:val="22"/>
          <w:szCs w:val="22"/>
        </w:rPr>
        <w:t>operation</w:t>
      </w:r>
      <w:proofErr w:type="spellEnd"/>
      <w:r w:rsidRPr="00641A1A">
        <w:rPr>
          <w:sz w:val="22"/>
          <w:szCs w:val="22"/>
        </w:rPr>
        <w:t xml:space="preserve"> </w:t>
      </w:r>
      <w:proofErr w:type="spellStart"/>
      <w:r w:rsidRPr="00641A1A">
        <w:rPr>
          <w:sz w:val="22"/>
          <w:szCs w:val="22"/>
        </w:rPr>
        <w:t>and</w:t>
      </w:r>
      <w:proofErr w:type="spellEnd"/>
      <w:r w:rsidRPr="00641A1A">
        <w:rPr>
          <w:sz w:val="22"/>
          <w:szCs w:val="22"/>
        </w:rPr>
        <w:t xml:space="preserve"> </w:t>
      </w:r>
      <w:proofErr w:type="spellStart"/>
      <w:r w:rsidRPr="00641A1A">
        <w:rPr>
          <w:sz w:val="22"/>
          <w:szCs w:val="22"/>
        </w:rPr>
        <w:t>Development</w:t>
      </w:r>
      <w:proofErr w:type="spellEnd"/>
      <w:r w:rsidRPr="00641A1A">
        <w:rPr>
          <w:sz w:val="22"/>
          <w:szCs w:val="22"/>
        </w:rPr>
        <w:t xml:space="preserve">, 2011, </w:t>
      </w:r>
      <w:proofErr w:type="spellStart"/>
      <w:r w:rsidRPr="003E3C00">
        <w:rPr>
          <w:i/>
          <w:iCs/>
          <w:sz w:val="22"/>
          <w:szCs w:val="22"/>
        </w:rPr>
        <w:t>Concessions</w:t>
      </w:r>
      <w:proofErr w:type="spellEnd"/>
      <w:r w:rsidRPr="003E3C00">
        <w:rPr>
          <w:i/>
          <w:iCs/>
          <w:sz w:val="22"/>
          <w:szCs w:val="22"/>
        </w:rPr>
        <w:t xml:space="preserve"> </w:t>
      </w:r>
      <w:proofErr w:type="spellStart"/>
      <w:r w:rsidRPr="003E3C00">
        <w:rPr>
          <w:i/>
          <w:iCs/>
          <w:sz w:val="22"/>
          <w:szCs w:val="22"/>
        </w:rPr>
        <w:t>and</w:t>
      </w:r>
      <w:proofErr w:type="spellEnd"/>
      <w:r w:rsidRPr="003E3C00">
        <w:rPr>
          <w:i/>
          <w:iCs/>
          <w:sz w:val="22"/>
          <w:szCs w:val="22"/>
        </w:rPr>
        <w:t xml:space="preserve"> Public-Private </w:t>
      </w:r>
      <w:proofErr w:type="spellStart"/>
      <w:r w:rsidRPr="003E3C00">
        <w:rPr>
          <w:i/>
          <w:iCs/>
          <w:sz w:val="22"/>
          <w:szCs w:val="22"/>
        </w:rPr>
        <w:t>Partnerships</w:t>
      </w:r>
      <w:proofErr w:type="spellEnd"/>
      <w:r w:rsidRPr="003E3C00">
        <w:rPr>
          <w:i/>
          <w:iCs/>
          <w:sz w:val="22"/>
          <w:szCs w:val="22"/>
        </w:rPr>
        <w:t>.</w:t>
      </w:r>
      <w:r w:rsidRPr="00641A1A">
        <w:rPr>
          <w:sz w:val="22"/>
          <w:szCs w:val="22"/>
        </w:rPr>
        <w:t xml:space="preserve"> Paris: OECD </w:t>
      </w:r>
      <w:proofErr w:type="spellStart"/>
      <w:r w:rsidRPr="00641A1A">
        <w:rPr>
          <w:sz w:val="22"/>
          <w:szCs w:val="22"/>
        </w:rPr>
        <w:t>Publishing</w:t>
      </w:r>
      <w:proofErr w:type="spellEnd"/>
      <w:r w:rsidRPr="00641A1A">
        <w:rPr>
          <w:sz w:val="22"/>
          <w:szCs w:val="22"/>
        </w:rPr>
        <w:t>.</w:t>
      </w:r>
      <w:r w:rsidR="006B4C82">
        <w:rPr>
          <w:sz w:val="22"/>
          <w:szCs w:val="22"/>
        </w:rPr>
        <w:t xml:space="preserve"> </w:t>
      </w:r>
      <w:proofErr w:type="spellStart"/>
      <w:r w:rsidR="006B4C82">
        <w:rPr>
          <w:sz w:val="22"/>
          <w:szCs w:val="22"/>
        </w:rPr>
        <w:t>Available</w:t>
      </w:r>
      <w:proofErr w:type="spellEnd"/>
      <w:r w:rsidR="006B4C82">
        <w:rPr>
          <w:sz w:val="22"/>
          <w:szCs w:val="22"/>
        </w:rPr>
        <w:t xml:space="preserve"> at: </w:t>
      </w:r>
      <w:hyperlink r:id="rId11" w:history="1">
        <w:r w:rsidR="006B4C82" w:rsidRPr="00901445">
          <w:rPr>
            <w:rStyle w:val="Hyperlink"/>
            <w:sz w:val="22"/>
            <w:szCs w:val="22"/>
          </w:rPr>
          <w:t>https://www.oecd.org/content/dam/oecd/en/publications/reports/2015/09/concessions-and-ppps_g17a25f6/5js4vmnl876d-en.pdf</w:t>
        </w:r>
      </w:hyperlink>
      <w:r w:rsidR="006B4C82">
        <w:rPr>
          <w:sz w:val="22"/>
          <w:szCs w:val="22"/>
        </w:rPr>
        <w:t xml:space="preserve"> (</w:t>
      </w:r>
      <w:proofErr w:type="spellStart"/>
      <w:r w:rsidR="006B4C82">
        <w:rPr>
          <w:sz w:val="22"/>
          <w:szCs w:val="22"/>
        </w:rPr>
        <w:t>Accesed</w:t>
      </w:r>
      <w:proofErr w:type="spellEnd"/>
      <w:r w:rsidR="006B4C82" w:rsidRPr="00641A1A">
        <w:rPr>
          <w:sz w:val="22"/>
          <w:szCs w:val="22"/>
        </w:rPr>
        <w:t xml:space="preserve">: </w:t>
      </w:r>
      <w:r w:rsidR="006B4C82">
        <w:rPr>
          <w:sz w:val="22"/>
          <w:szCs w:val="22"/>
        </w:rPr>
        <w:t xml:space="preserve">3 </w:t>
      </w:r>
      <w:proofErr w:type="spellStart"/>
      <w:r w:rsidR="006B4C82">
        <w:rPr>
          <w:sz w:val="22"/>
          <w:szCs w:val="22"/>
        </w:rPr>
        <w:t>December</w:t>
      </w:r>
      <w:proofErr w:type="spellEnd"/>
      <w:r w:rsidR="006B4C82">
        <w:rPr>
          <w:sz w:val="22"/>
          <w:szCs w:val="22"/>
        </w:rPr>
        <w:t xml:space="preserve"> </w:t>
      </w:r>
      <w:r w:rsidR="006B4C82" w:rsidRPr="00641A1A">
        <w:rPr>
          <w:sz w:val="22"/>
          <w:szCs w:val="22"/>
        </w:rPr>
        <w:t>202</w:t>
      </w:r>
      <w:r w:rsidR="006B4C82">
        <w:rPr>
          <w:sz w:val="22"/>
          <w:szCs w:val="22"/>
        </w:rPr>
        <w:t>5</w:t>
      </w:r>
      <w:r w:rsidR="006B4C82">
        <w:rPr>
          <w:sz w:val="22"/>
          <w:szCs w:val="22"/>
        </w:rPr>
        <w:t>)</w:t>
      </w:r>
    </w:p>
    <w:p w14:paraId="4D1195F7" w14:textId="77777777" w:rsidR="00641A1A" w:rsidRPr="00641A1A" w:rsidRDefault="00641A1A" w:rsidP="00641A1A">
      <w:pPr>
        <w:pStyle w:val="ListParagraph"/>
        <w:spacing w:before="0" w:beforeAutospacing="0" w:after="0" w:afterAutospacing="0" w:line="240" w:lineRule="auto"/>
        <w:ind w:left="142" w:right="57"/>
        <w:jc w:val="both"/>
        <w:rPr>
          <w:sz w:val="22"/>
          <w:szCs w:val="22"/>
        </w:rPr>
      </w:pPr>
      <w:r w:rsidRPr="00641A1A">
        <w:rPr>
          <w:sz w:val="22"/>
          <w:szCs w:val="22"/>
        </w:rPr>
        <w:t xml:space="preserve"> </w:t>
      </w:r>
    </w:p>
    <w:p w14:paraId="36B2F547" w14:textId="0769A331" w:rsidR="00641A1A" w:rsidRPr="00641A1A" w:rsidRDefault="00641A1A" w:rsidP="00641A1A">
      <w:pPr>
        <w:pStyle w:val="ListParagraph"/>
        <w:spacing w:before="0" w:beforeAutospacing="0" w:after="0" w:afterAutospacing="0" w:line="240" w:lineRule="auto"/>
        <w:ind w:left="142" w:right="57"/>
        <w:jc w:val="both"/>
        <w:rPr>
          <w:sz w:val="22"/>
          <w:szCs w:val="22"/>
        </w:rPr>
      </w:pPr>
      <w:r w:rsidRPr="00641A1A">
        <w:rPr>
          <w:sz w:val="22"/>
          <w:szCs w:val="22"/>
        </w:rPr>
        <w:t xml:space="preserve">• </w:t>
      </w:r>
      <w:proofErr w:type="spellStart"/>
      <w:r w:rsidRPr="00641A1A">
        <w:rPr>
          <w:sz w:val="22"/>
          <w:szCs w:val="22"/>
        </w:rPr>
        <w:t>Organisation</w:t>
      </w:r>
      <w:proofErr w:type="spellEnd"/>
      <w:r w:rsidRPr="00641A1A">
        <w:rPr>
          <w:sz w:val="22"/>
          <w:szCs w:val="22"/>
        </w:rPr>
        <w:t xml:space="preserve"> for Economic Co-</w:t>
      </w:r>
      <w:proofErr w:type="spellStart"/>
      <w:r w:rsidRPr="00641A1A">
        <w:rPr>
          <w:sz w:val="22"/>
          <w:szCs w:val="22"/>
        </w:rPr>
        <w:t>operation</w:t>
      </w:r>
      <w:proofErr w:type="spellEnd"/>
      <w:r w:rsidRPr="00641A1A">
        <w:rPr>
          <w:sz w:val="22"/>
          <w:szCs w:val="22"/>
        </w:rPr>
        <w:t xml:space="preserve"> </w:t>
      </w:r>
      <w:proofErr w:type="spellStart"/>
      <w:r w:rsidRPr="00641A1A">
        <w:rPr>
          <w:sz w:val="22"/>
          <w:szCs w:val="22"/>
        </w:rPr>
        <w:t>and</w:t>
      </w:r>
      <w:proofErr w:type="spellEnd"/>
      <w:r w:rsidRPr="00641A1A">
        <w:rPr>
          <w:sz w:val="22"/>
          <w:szCs w:val="22"/>
        </w:rPr>
        <w:t xml:space="preserve"> </w:t>
      </w:r>
      <w:proofErr w:type="spellStart"/>
      <w:r w:rsidRPr="00641A1A">
        <w:rPr>
          <w:sz w:val="22"/>
          <w:szCs w:val="22"/>
        </w:rPr>
        <w:t>Development</w:t>
      </w:r>
      <w:proofErr w:type="spellEnd"/>
      <w:r w:rsidRPr="00641A1A">
        <w:rPr>
          <w:sz w:val="22"/>
          <w:szCs w:val="22"/>
        </w:rPr>
        <w:t xml:space="preserve">, 2019, Global Forum on </w:t>
      </w:r>
      <w:proofErr w:type="spellStart"/>
      <w:r w:rsidRPr="00641A1A">
        <w:rPr>
          <w:sz w:val="22"/>
          <w:szCs w:val="22"/>
        </w:rPr>
        <w:t>Competition</w:t>
      </w:r>
      <w:proofErr w:type="spellEnd"/>
      <w:r w:rsidRPr="00641A1A">
        <w:rPr>
          <w:sz w:val="22"/>
          <w:szCs w:val="22"/>
        </w:rPr>
        <w:t xml:space="preserve">: </w:t>
      </w:r>
      <w:proofErr w:type="spellStart"/>
      <w:r w:rsidRPr="00641A1A">
        <w:rPr>
          <w:sz w:val="22"/>
          <w:szCs w:val="22"/>
        </w:rPr>
        <w:t>Concessions</w:t>
      </w:r>
      <w:proofErr w:type="spellEnd"/>
      <w:r w:rsidRPr="00641A1A">
        <w:rPr>
          <w:sz w:val="22"/>
          <w:szCs w:val="22"/>
        </w:rPr>
        <w:t xml:space="preserve"> </w:t>
      </w:r>
      <w:proofErr w:type="spellStart"/>
      <w:r w:rsidRPr="00641A1A">
        <w:rPr>
          <w:sz w:val="22"/>
          <w:szCs w:val="22"/>
        </w:rPr>
        <w:t>and</w:t>
      </w:r>
      <w:proofErr w:type="spellEnd"/>
      <w:r w:rsidRPr="00641A1A">
        <w:rPr>
          <w:sz w:val="22"/>
          <w:szCs w:val="22"/>
        </w:rPr>
        <w:t xml:space="preserve"> </w:t>
      </w:r>
      <w:proofErr w:type="spellStart"/>
      <w:r w:rsidRPr="00641A1A">
        <w:rPr>
          <w:sz w:val="22"/>
          <w:szCs w:val="22"/>
        </w:rPr>
        <w:t>PPPs</w:t>
      </w:r>
      <w:proofErr w:type="spellEnd"/>
      <w:r w:rsidRPr="00641A1A">
        <w:rPr>
          <w:sz w:val="22"/>
          <w:szCs w:val="22"/>
        </w:rPr>
        <w:t xml:space="preserve"> (DAF/COMP/GF(2019)7). Paris: OECD. </w:t>
      </w:r>
      <w:proofErr w:type="spellStart"/>
      <w:r w:rsidRPr="00641A1A">
        <w:rPr>
          <w:sz w:val="22"/>
          <w:szCs w:val="22"/>
        </w:rPr>
        <w:t>Available</w:t>
      </w:r>
      <w:proofErr w:type="spellEnd"/>
      <w:r w:rsidRPr="00641A1A">
        <w:rPr>
          <w:sz w:val="22"/>
          <w:szCs w:val="22"/>
        </w:rPr>
        <w:t xml:space="preserve"> at: </w:t>
      </w:r>
      <w:r w:rsidRPr="00641A1A">
        <w:rPr>
          <w:sz w:val="22"/>
          <w:szCs w:val="22"/>
        </w:rPr>
        <w:lastRenderedPageBreak/>
        <w:t>https://one.oecd.org/document/DAF/COMP/GF(2019)7/en/pdf (</w:t>
      </w:r>
      <w:proofErr w:type="spellStart"/>
      <w:r w:rsidRPr="00641A1A">
        <w:rPr>
          <w:sz w:val="22"/>
          <w:szCs w:val="22"/>
        </w:rPr>
        <w:t>Accessed</w:t>
      </w:r>
      <w:proofErr w:type="spellEnd"/>
      <w:r w:rsidRPr="00641A1A">
        <w:rPr>
          <w:sz w:val="22"/>
          <w:szCs w:val="22"/>
        </w:rPr>
        <w:t xml:space="preserve">: </w:t>
      </w:r>
      <w:r>
        <w:rPr>
          <w:sz w:val="22"/>
          <w:szCs w:val="22"/>
        </w:rPr>
        <w:t>2</w:t>
      </w:r>
      <w:r w:rsidRPr="00641A1A">
        <w:rPr>
          <w:sz w:val="22"/>
          <w:szCs w:val="22"/>
        </w:rPr>
        <w:t xml:space="preserve"> </w:t>
      </w:r>
      <w:proofErr w:type="spellStart"/>
      <w:r>
        <w:rPr>
          <w:sz w:val="22"/>
          <w:szCs w:val="22"/>
        </w:rPr>
        <w:t>December</w:t>
      </w:r>
      <w:proofErr w:type="spellEnd"/>
      <w:r>
        <w:rPr>
          <w:sz w:val="22"/>
          <w:szCs w:val="22"/>
        </w:rPr>
        <w:t xml:space="preserve"> </w:t>
      </w:r>
      <w:r w:rsidRPr="00641A1A">
        <w:rPr>
          <w:sz w:val="22"/>
          <w:szCs w:val="22"/>
        </w:rPr>
        <w:t>202</w:t>
      </w:r>
      <w:r>
        <w:rPr>
          <w:sz w:val="22"/>
          <w:szCs w:val="22"/>
        </w:rPr>
        <w:t>5</w:t>
      </w:r>
      <w:r w:rsidRPr="00641A1A">
        <w:rPr>
          <w:sz w:val="22"/>
          <w:szCs w:val="22"/>
        </w:rPr>
        <w:t>).</w:t>
      </w:r>
    </w:p>
    <w:p w14:paraId="0A7888C0" w14:textId="77777777" w:rsidR="00641A1A" w:rsidRPr="00641A1A" w:rsidRDefault="00641A1A" w:rsidP="00641A1A">
      <w:pPr>
        <w:pStyle w:val="ListParagraph"/>
        <w:spacing w:before="0" w:beforeAutospacing="0" w:after="0" w:afterAutospacing="0" w:line="240" w:lineRule="auto"/>
        <w:ind w:left="142" w:right="57"/>
        <w:jc w:val="both"/>
        <w:rPr>
          <w:sz w:val="22"/>
          <w:szCs w:val="22"/>
        </w:rPr>
      </w:pPr>
      <w:r w:rsidRPr="00641A1A">
        <w:rPr>
          <w:sz w:val="22"/>
          <w:szCs w:val="22"/>
        </w:rPr>
        <w:t xml:space="preserve"> </w:t>
      </w:r>
    </w:p>
    <w:p w14:paraId="415A7AD1" w14:textId="77777777" w:rsidR="003E3C00" w:rsidRDefault="00641A1A" w:rsidP="003E3C00">
      <w:pPr>
        <w:pStyle w:val="ListParagraph"/>
        <w:spacing w:before="0" w:beforeAutospacing="0" w:after="0" w:afterAutospacing="0" w:line="240" w:lineRule="auto"/>
        <w:ind w:left="142" w:right="57"/>
        <w:jc w:val="both"/>
        <w:rPr>
          <w:sz w:val="22"/>
          <w:szCs w:val="22"/>
        </w:rPr>
      </w:pPr>
      <w:r w:rsidRPr="00641A1A">
        <w:rPr>
          <w:sz w:val="22"/>
          <w:szCs w:val="22"/>
        </w:rPr>
        <w:t xml:space="preserve">• The European </w:t>
      </w:r>
      <w:proofErr w:type="spellStart"/>
      <w:r w:rsidRPr="00641A1A">
        <w:rPr>
          <w:sz w:val="22"/>
          <w:szCs w:val="22"/>
        </w:rPr>
        <w:t>Network</w:t>
      </w:r>
      <w:proofErr w:type="spellEnd"/>
      <w:r w:rsidRPr="00641A1A">
        <w:rPr>
          <w:sz w:val="22"/>
          <w:szCs w:val="22"/>
        </w:rPr>
        <w:t xml:space="preserve"> </w:t>
      </w:r>
      <w:proofErr w:type="spellStart"/>
      <w:r w:rsidRPr="00641A1A">
        <w:rPr>
          <w:sz w:val="22"/>
          <w:szCs w:val="22"/>
        </w:rPr>
        <w:t>and</w:t>
      </w:r>
      <w:proofErr w:type="spellEnd"/>
      <w:r w:rsidRPr="00641A1A">
        <w:rPr>
          <w:sz w:val="22"/>
          <w:szCs w:val="22"/>
        </w:rPr>
        <w:t xml:space="preserve"> Information </w:t>
      </w:r>
      <w:proofErr w:type="spellStart"/>
      <w:r w:rsidRPr="00641A1A">
        <w:rPr>
          <w:sz w:val="22"/>
          <w:szCs w:val="22"/>
        </w:rPr>
        <w:t>Security</w:t>
      </w:r>
      <w:proofErr w:type="spellEnd"/>
      <w:r w:rsidRPr="00641A1A">
        <w:rPr>
          <w:sz w:val="22"/>
          <w:szCs w:val="22"/>
        </w:rPr>
        <w:t xml:space="preserve"> Agency (ENISA), 2011, Cooperative </w:t>
      </w:r>
      <w:proofErr w:type="spellStart"/>
      <w:r w:rsidRPr="00641A1A">
        <w:rPr>
          <w:sz w:val="22"/>
          <w:szCs w:val="22"/>
        </w:rPr>
        <w:t>Models</w:t>
      </w:r>
      <w:proofErr w:type="spellEnd"/>
      <w:r w:rsidRPr="00641A1A">
        <w:rPr>
          <w:sz w:val="22"/>
          <w:szCs w:val="22"/>
        </w:rPr>
        <w:t xml:space="preserve"> for </w:t>
      </w:r>
      <w:proofErr w:type="spellStart"/>
      <w:r w:rsidRPr="00641A1A">
        <w:rPr>
          <w:sz w:val="22"/>
          <w:szCs w:val="22"/>
        </w:rPr>
        <w:t>Effective</w:t>
      </w:r>
      <w:proofErr w:type="spellEnd"/>
      <w:r w:rsidRPr="00641A1A">
        <w:rPr>
          <w:sz w:val="22"/>
          <w:szCs w:val="22"/>
        </w:rPr>
        <w:t xml:space="preserve"> Public-Private </w:t>
      </w:r>
      <w:proofErr w:type="spellStart"/>
      <w:r w:rsidRPr="00641A1A">
        <w:rPr>
          <w:sz w:val="22"/>
          <w:szCs w:val="22"/>
        </w:rPr>
        <w:t>Partnerships</w:t>
      </w:r>
      <w:proofErr w:type="spellEnd"/>
      <w:r w:rsidRPr="00641A1A">
        <w:rPr>
          <w:sz w:val="22"/>
          <w:szCs w:val="22"/>
        </w:rPr>
        <w:t xml:space="preserve">: </w:t>
      </w:r>
      <w:proofErr w:type="spellStart"/>
      <w:r w:rsidRPr="00641A1A">
        <w:rPr>
          <w:sz w:val="22"/>
          <w:szCs w:val="22"/>
        </w:rPr>
        <w:t>Good</w:t>
      </w:r>
      <w:proofErr w:type="spellEnd"/>
      <w:r w:rsidRPr="00641A1A">
        <w:rPr>
          <w:sz w:val="22"/>
          <w:szCs w:val="22"/>
        </w:rPr>
        <w:t xml:space="preserve"> Practice </w:t>
      </w:r>
      <w:proofErr w:type="spellStart"/>
      <w:r w:rsidRPr="00641A1A">
        <w:rPr>
          <w:sz w:val="22"/>
          <w:szCs w:val="22"/>
        </w:rPr>
        <w:t>Guide</w:t>
      </w:r>
      <w:proofErr w:type="spellEnd"/>
      <w:r w:rsidRPr="00641A1A">
        <w:rPr>
          <w:sz w:val="22"/>
          <w:szCs w:val="22"/>
        </w:rPr>
        <w:t xml:space="preserve">. Luxembourg: </w:t>
      </w:r>
      <w:proofErr w:type="spellStart"/>
      <w:r w:rsidRPr="00641A1A">
        <w:rPr>
          <w:sz w:val="22"/>
          <w:szCs w:val="22"/>
        </w:rPr>
        <w:t>Publications</w:t>
      </w:r>
      <w:proofErr w:type="spellEnd"/>
      <w:r w:rsidRPr="00641A1A">
        <w:rPr>
          <w:sz w:val="22"/>
          <w:szCs w:val="22"/>
        </w:rPr>
        <w:t xml:space="preserve"> Office of </w:t>
      </w:r>
      <w:proofErr w:type="spellStart"/>
      <w:r w:rsidRPr="00641A1A">
        <w:rPr>
          <w:sz w:val="22"/>
          <w:szCs w:val="22"/>
        </w:rPr>
        <w:t>the</w:t>
      </w:r>
      <w:proofErr w:type="spellEnd"/>
      <w:r w:rsidRPr="00641A1A">
        <w:rPr>
          <w:sz w:val="22"/>
          <w:szCs w:val="22"/>
        </w:rPr>
        <w:t xml:space="preserve"> European Union</w:t>
      </w:r>
      <w:r w:rsidR="0084727E">
        <w:rPr>
          <w:sz w:val="22"/>
          <w:szCs w:val="22"/>
        </w:rPr>
        <w:t xml:space="preserve">, </w:t>
      </w:r>
      <w:proofErr w:type="spellStart"/>
      <w:r w:rsidR="0084727E">
        <w:rPr>
          <w:sz w:val="22"/>
          <w:szCs w:val="22"/>
        </w:rPr>
        <w:t>available</w:t>
      </w:r>
      <w:proofErr w:type="spellEnd"/>
      <w:r w:rsidR="0084727E">
        <w:rPr>
          <w:sz w:val="22"/>
          <w:szCs w:val="22"/>
        </w:rPr>
        <w:t xml:space="preserve"> at: </w:t>
      </w:r>
      <w:hyperlink r:id="rId12" w:history="1">
        <w:r w:rsidR="0084727E" w:rsidRPr="00901445">
          <w:rPr>
            <w:rStyle w:val="Hyperlink"/>
            <w:sz w:val="22"/>
            <w:szCs w:val="22"/>
          </w:rPr>
          <w:t>https://www.enisa.europa.eu/sites/default/files/publications/ENISA_Desktop_Research_report.pdf</w:t>
        </w:r>
      </w:hyperlink>
      <w:r w:rsidR="0084727E">
        <w:rPr>
          <w:sz w:val="22"/>
          <w:szCs w:val="22"/>
        </w:rPr>
        <w:t xml:space="preserve"> (</w:t>
      </w:r>
      <w:proofErr w:type="spellStart"/>
      <w:r w:rsidR="0084727E" w:rsidRPr="0084727E">
        <w:rPr>
          <w:sz w:val="22"/>
          <w:szCs w:val="22"/>
        </w:rPr>
        <w:t>Accesed</w:t>
      </w:r>
      <w:proofErr w:type="spellEnd"/>
      <w:r w:rsidR="0084727E" w:rsidRPr="0084727E">
        <w:rPr>
          <w:sz w:val="22"/>
          <w:szCs w:val="22"/>
        </w:rPr>
        <w:t xml:space="preserve">: 2 </w:t>
      </w:r>
      <w:proofErr w:type="spellStart"/>
      <w:r w:rsidR="0084727E" w:rsidRPr="0084727E">
        <w:rPr>
          <w:sz w:val="22"/>
          <w:szCs w:val="22"/>
        </w:rPr>
        <w:t>December</w:t>
      </w:r>
      <w:proofErr w:type="spellEnd"/>
      <w:r w:rsidR="0084727E" w:rsidRPr="0084727E">
        <w:rPr>
          <w:sz w:val="22"/>
          <w:szCs w:val="22"/>
        </w:rPr>
        <w:t xml:space="preserve"> 2025</w:t>
      </w:r>
      <w:r w:rsidR="0084727E">
        <w:rPr>
          <w:sz w:val="22"/>
          <w:szCs w:val="22"/>
        </w:rPr>
        <w:t>)</w:t>
      </w:r>
    </w:p>
    <w:p w14:paraId="2B041641" w14:textId="77777777" w:rsidR="003E3C00" w:rsidRDefault="003E3C00" w:rsidP="003E3C00">
      <w:pPr>
        <w:pStyle w:val="ListParagraph"/>
        <w:spacing w:before="0" w:beforeAutospacing="0" w:after="0" w:afterAutospacing="0" w:line="240" w:lineRule="auto"/>
        <w:ind w:left="142" w:right="57"/>
        <w:jc w:val="both"/>
        <w:rPr>
          <w:sz w:val="22"/>
          <w:szCs w:val="22"/>
        </w:rPr>
      </w:pPr>
    </w:p>
    <w:p w14:paraId="42C09B09" w14:textId="6772660B" w:rsidR="00E02E50" w:rsidRPr="003E3C00" w:rsidRDefault="003E3C00" w:rsidP="003E3C00">
      <w:pPr>
        <w:pStyle w:val="ListParagraph"/>
        <w:spacing w:before="0" w:beforeAutospacing="0" w:after="0" w:afterAutospacing="0" w:line="240" w:lineRule="auto"/>
        <w:ind w:left="142" w:right="57"/>
        <w:jc w:val="both"/>
        <w:rPr>
          <w:sz w:val="22"/>
          <w:szCs w:val="22"/>
        </w:rPr>
      </w:pPr>
      <w:r w:rsidRPr="00641A1A">
        <w:rPr>
          <w:sz w:val="22"/>
          <w:szCs w:val="22"/>
        </w:rPr>
        <w:t xml:space="preserve">• </w:t>
      </w:r>
      <w:proofErr w:type="spellStart"/>
      <w:r w:rsidR="00E02E50" w:rsidRPr="003E3C00">
        <w:rPr>
          <w:sz w:val="22"/>
          <w:szCs w:val="22"/>
        </w:rPr>
        <w:t>Yescombe</w:t>
      </w:r>
      <w:proofErr w:type="spellEnd"/>
      <w:r w:rsidR="00E02E50" w:rsidRPr="003E3C00">
        <w:rPr>
          <w:sz w:val="22"/>
          <w:szCs w:val="22"/>
        </w:rPr>
        <w:t xml:space="preserve">, E.R, 2007,  </w:t>
      </w:r>
      <w:r w:rsidR="00E02E50" w:rsidRPr="003E3C00">
        <w:rPr>
          <w:i/>
          <w:iCs/>
          <w:sz w:val="22"/>
          <w:szCs w:val="22"/>
        </w:rPr>
        <w:t xml:space="preserve">Public-Private </w:t>
      </w:r>
      <w:proofErr w:type="spellStart"/>
      <w:r w:rsidR="00E02E50" w:rsidRPr="003E3C00">
        <w:rPr>
          <w:i/>
          <w:iCs/>
          <w:sz w:val="22"/>
          <w:szCs w:val="22"/>
        </w:rPr>
        <w:t>Partnerships</w:t>
      </w:r>
      <w:proofErr w:type="spellEnd"/>
    </w:p>
    <w:p w14:paraId="243612DE" w14:textId="41E3DE47" w:rsidR="00E02E50" w:rsidRPr="0084727E" w:rsidRDefault="00E02E50" w:rsidP="00E02E50">
      <w:pPr>
        <w:pStyle w:val="ListParagraph"/>
        <w:spacing w:before="0" w:beforeAutospacing="0" w:after="0" w:afterAutospacing="0" w:line="240" w:lineRule="auto"/>
        <w:ind w:left="142" w:right="57"/>
        <w:jc w:val="both"/>
        <w:rPr>
          <w:sz w:val="22"/>
          <w:szCs w:val="22"/>
          <w:lang w:val="en-US"/>
        </w:rPr>
      </w:pPr>
      <w:proofErr w:type="spellStart"/>
      <w:r w:rsidRPr="00E02E50">
        <w:rPr>
          <w:i/>
          <w:iCs/>
          <w:sz w:val="22"/>
          <w:szCs w:val="22"/>
        </w:rPr>
        <w:t>Principles</w:t>
      </w:r>
      <w:proofErr w:type="spellEnd"/>
      <w:r w:rsidRPr="00E02E50">
        <w:rPr>
          <w:i/>
          <w:iCs/>
          <w:sz w:val="22"/>
          <w:szCs w:val="22"/>
        </w:rPr>
        <w:t xml:space="preserve"> of </w:t>
      </w:r>
      <w:proofErr w:type="spellStart"/>
      <w:r w:rsidRPr="00E02E50">
        <w:rPr>
          <w:i/>
          <w:iCs/>
          <w:sz w:val="22"/>
          <w:szCs w:val="22"/>
        </w:rPr>
        <w:t>Policy</w:t>
      </w:r>
      <w:proofErr w:type="spellEnd"/>
      <w:r w:rsidRPr="00E02E50">
        <w:rPr>
          <w:i/>
          <w:iCs/>
          <w:sz w:val="22"/>
          <w:szCs w:val="22"/>
        </w:rPr>
        <w:t xml:space="preserve"> </w:t>
      </w:r>
      <w:proofErr w:type="spellStart"/>
      <w:r w:rsidRPr="00E02E50">
        <w:rPr>
          <w:i/>
          <w:iCs/>
          <w:sz w:val="22"/>
          <w:szCs w:val="22"/>
        </w:rPr>
        <w:t>and</w:t>
      </w:r>
      <w:proofErr w:type="spellEnd"/>
      <w:r w:rsidRPr="00E02E50">
        <w:rPr>
          <w:i/>
          <w:iCs/>
          <w:sz w:val="22"/>
          <w:szCs w:val="22"/>
        </w:rPr>
        <w:t xml:space="preserve"> </w:t>
      </w:r>
      <w:proofErr w:type="spellStart"/>
      <w:r w:rsidRPr="00E02E50">
        <w:rPr>
          <w:i/>
          <w:iCs/>
          <w:sz w:val="22"/>
          <w:szCs w:val="22"/>
        </w:rPr>
        <w:t>Finance</w:t>
      </w:r>
      <w:proofErr w:type="spellEnd"/>
      <w:r>
        <w:rPr>
          <w:sz w:val="22"/>
          <w:szCs w:val="22"/>
        </w:rPr>
        <w:t xml:space="preserve">, </w:t>
      </w:r>
      <w:hyperlink r:id="rId13" w:history="1">
        <w:r w:rsidRPr="00901445">
          <w:rPr>
            <w:rStyle w:val="Hyperlink"/>
            <w:sz w:val="22"/>
            <w:szCs w:val="22"/>
          </w:rPr>
          <w:t>https://doi.org/10.1016/B978-0-7506-8054-7.X5022</w:t>
        </w:r>
        <w:r w:rsidRPr="00901445">
          <w:rPr>
            <w:rStyle w:val="Hyperlink"/>
            <w:sz w:val="22"/>
            <w:szCs w:val="22"/>
          </w:rPr>
          <w:t>-9</w:t>
        </w:r>
      </w:hyperlink>
      <w:r>
        <w:rPr>
          <w:sz w:val="22"/>
          <w:szCs w:val="22"/>
        </w:rPr>
        <w:t xml:space="preserve"> </w:t>
      </w:r>
      <w:proofErr w:type="spellStart"/>
      <w:r>
        <w:rPr>
          <w:sz w:val="22"/>
          <w:szCs w:val="22"/>
        </w:rPr>
        <w:t>Available</w:t>
      </w:r>
      <w:proofErr w:type="spellEnd"/>
      <w:r>
        <w:rPr>
          <w:sz w:val="22"/>
          <w:szCs w:val="22"/>
        </w:rPr>
        <w:t xml:space="preserve"> at: </w:t>
      </w:r>
      <w:hyperlink r:id="rId14" w:history="1">
        <w:r w:rsidRPr="00901445">
          <w:rPr>
            <w:rStyle w:val="Hyperlink"/>
            <w:sz w:val="22"/>
            <w:szCs w:val="22"/>
          </w:rPr>
          <w:t>https://www.sciencedirect.com/book/monograph/9780750680547/public-private-partnerships</w:t>
        </w:r>
      </w:hyperlink>
      <w:r>
        <w:rPr>
          <w:sz w:val="22"/>
          <w:szCs w:val="22"/>
        </w:rPr>
        <w:t xml:space="preserve">, </w:t>
      </w:r>
      <w:proofErr w:type="spellStart"/>
      <w:r>
        <w:rPr>
          <w:sz w:val="22"/>
          <w:szCs w:val="22"/>
        </w:rPr>
        <w:t>Accesed</w:t>
      </w:r>
      <w:proofErr w:type="spellEnd"/>
      <w:r>
        <w:rPr>
          <w:sz w:val="22"/>
          <w:szCs w:val="22"/>
        </w:rPr>
        <w:t xml:space="preserve"> (9 </w:t>
      </w:r>
      <w:proofErr w:type="spellStart"/>
      <w:r>
        <w:rPr>
          <w:sz w:val="22"/>
          <w:szCs w:val="22"/>
        </w:rPr>
        <w:t>December</w:t>
      </w:r>
      <w:proofErr w:type="spellEnd"/>
      <w:r>
        <w:rPr>
          <w:sz w:val="22"/>
          <w:szCs w:val="22"/>
        </w:rPr>
        <w:t xml:space="preserve"> 2025)</w:t>
      </w:r>
    </w:p>
    <w:sectPr w:rsidR="00E02E50" w:rsidRPr="0084727E" w:rsidSect="00603CBC">
      <w:pgSz w:w="9639" w:h="13608" w:code="125"/>
      <w:pgMar w:top="1418" w:right="1418" w:bottom="1418" w:left="1701" w:header="1701" w:footer="17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90359" w14:textId="77777777" w:rsidR="00C44168" w:rsidRDefault="00C44168" w:rsidP="00E7677B">
      <w:pPr>
        <w:spacing w:before="0" w:after="0" w:line="240" w:lineRule="auto"/>
      </w:pPr>
      <w:r>
        <w:separator/>
      </w:r>
    </w:p>
  </w:endnote>
  <w:endnote w:type="continuationSeparator" w:id="0">
    <w:p w14:paraId="6E261071" w14:textId="77777777" w:rsidR="00C44168" w:rsidRDefault="00C44168" w:rsidP="00E7677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Cambria"/>
    <w:panose1 w:val="020B0604020202020204"/>
    <w:charset w:val="00"/>
    <w:family w:val="roman"/>
    <w:pitch w:val="default"/>
  </w:font>
  <w:font w:name="TimesNewRomanPS">
    <w:altName w:val="Times New Roman"/>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C9D02" w14:textId="77777777" w:rsidR="00C44168" w:rsidRDefault="00C44168" w:rsidP="00E7677B">
      <w:pPr>
        <w:spacing w:before="0" w:after="0" w:line="240" w:lineRule="auto"/>
      </w:pPr>
      <w:r>
        <w:separator/>
      </w:r>
    </w:p>
  </w:footnote>
  <w:footnote w:type="continuationSeparator" w:id="0">
    <w:p w14:paraId="3176EB1A" w14:textId="77777777" w:rsidR="00C44168" w:rsidRDefault="00C44168" w:rsidP="00E7677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374F6"/>
    <w:multiLevelType w:val="hybridMultilevel"/>
    <w:tmpl w:val="845AF2BA"/>
    <w:lvl w:ilvl="0" w:tplc="86F6343A">
      <w:start w:val="1"/>
      <w:numFmt w:val="bullet"/>
      <w:lvlText w:val=""/>
      <w:lvlJc w:val="left"/>
      <w:pPr>
        <w:ind w:left="720" w:hanging="360"/>
      </w:pPr>
      <w:rPr>
        <w:rFonts w:ascii="Symbol" w:hAnsi="Symbol" w:hint="default"/>
      </w:rPr>
    </w:lvl>
    <w:lvl w:ilvl="1" w:tplc="15A4811C">
      <w:start w:val="1"/>
      <w:numFmt w:val="bullet"/>
      <w:lvlText w:val="o"/>
      <w:lvlJc w:val="left"/>
      <w:pPr>
        <w:ind w:left="1440" w:hanging="360"/>
      </w:pPr>
      <w:rPr>
        <w:rFonts w:ascii="Courier New" w:hAnsi="Courier New" w:hint="default"/>
      </w:rPr>
    </w:lvl>
    <w:lvl w:ilvl="2" w:tplc="958209FA">
      <w:start w:val="1"/>
      <w:numFmt w:val="bullet"/>
      <w:lvlText w:val=""/>
      <w:lvlJc w:val="left"/>
      <w:pPr>
        <w:ind w:left="2160" w:hanging="360"/>
      </w:pPr>
      <w:rPr>
        <w:rFonts w:ascii="Wingdings" w:hAnsi="Wingdings" w:hint="default"/>
      </w:rPr>
    </w:lvl>
    <w:lvl w:ilvl="3" w:tplc="062E8D46">
      <w:start w:val="1"/>
      <w:numFmt w:val="bullet"/>
      <w:lvlText w:val=""/>
      <w:lvlJc w:val="left"/>
      <w:pPr>
        <w:ind w:left="2880" w:hanging="360"/>
      </w:pPr>
      <w:rPr>
        <w:rFonts w:ascii="Symbol" w:hAnsi="Symbol" w:hint="default"/>
      </w:rPr>
    </w:lvl>
    <w:lvl w:ilvl="4" w:tplc="47F84A92">
      <w:start w:val="1"/>
      <w:numFmt w:val="bullet"/>
      <w:lvlText w:val="o"/>
      <w:lvlJc w:val="left"/>
      <w:pPr>
        <w:ind w:left="3600" w:hanging="360"/>
      </w:pPr>
      <w:rPr>
        <w:rFonts w:ascii="Courier New" w:hAnsi="Courier New" w:hint="default"/>
      </w:rPr>
    </w:lvl>
    <w:lvl w:ilvl="5" w:tplc="11E60770">
      <w:start w:val="1"/>
      <w:numFmt w:val="bullet"/>
      <w:lvlText w:val=""/>
      <w:lvlJc w:val="left"/>
      <w:pPr>
        <w:ind w:left="4320" w:hanging="360"/>
      </w:pPr>
      <w:rPr>
        <w:rFonts w:ascii="Wingdings" w:hAnsi="Wingdings" w:hint="default"/>
      </w:rPr>
    </w:lvl>
    <w:lvl w:ilvl="6" w:tplc="975049E2">
      <w:start w:val="1"/>
      <w:numFmt w:val="bullet"/>
      <w:lvlText w:val=""/>
      <w:lvlJc w:val="left"/>
      <w:pPr>
        <w:ind w:left="5040" w:hanging="360"/>
      </w:pPr>
      <w:rPr>
        <w:rFonts w:ascii="Symbol" w:hAnsi="Symbol" w:hint="default"/>
      </w:rPr>
    </w:lvl>
    <w:lvl w:ilvl="7" w:tplc="C50ACC7A">
      <w:start w:val="1"/>
      <w:numFmt w:val="bullet"/>
      <w:lvlText w:val="o"/>
      <w:lvlJc w:val="left"/>
      <w:pPr>
        <w:ind w:left="5760" w:hanging="360"/>
      </w:pPr>
      <w:rPr>
        <w:rFonts w:ascii="Courier New" w:hAnsi="Courier New" w:hint="default"/>
      </w:rPr>
    </w:lvl>
    <w:lvl w:ilvl="8" w:tplc="2416C25E">
      <w:start w:val="1"/>
      <w:numFmt w:val="bullet"/>
      <w:lvlText w:val=""/>
      <w:lvlJc w:val="left"/>
      <w:pPr>
        <w:ind w:left="6480" w:hanging="360"/>
      </w:pPr>
      <w:rPr>
        <w:rFonts w:ascii="Wingdings" w:hAnsi="Wingdings" w:hint="default"/>
      </w:rPr>
    </w:lvl>
  </w:abstractNum>
  <w:abstractNum w:abstractNumId="1" w15:restartNumberingAfterBreak="0">
    <w:nsid w:val="17857006"/>
    <w:multiLevelType w:val="multilevel"/>
    <w:tmpl w:val="B8EA68AA"/>
    <w:lvl w:ilvl="0">
      <w:start w:val="1"/>
      <w:numFmt w:val="decimal"/>
      <w:lvlText w:val="%1."/>
      <w:lvlJc w:val="left"/>
      <w:pPr>
        <w:ind w:left="360" w:hanging="360"/>
      </w:pPr>
      <w:rPr>
        <w:rFonts w:hint="default"/>
        <w:sz w:val="24"/>
      </w:rPr>
    </w:lvl>
    <w:lvl w:ilvl="1">
      <w:start w:val="1"/>
      <w:numFmt w:val="decimal"/>
      <w:lvlText w:val="%1.%2."/>
      <w:lvlJc w:val="left"/>
      <w:pPr>
        <w:ind w:left="1210" w:hanging="360"/>
      </w:pPr>
      <w:rPr>
        <w:rFonts w:hint="default"/>
        <w:sz w:val="24"/>
      </w:rPr>
    </w:lvl>
    <w:lvl w:ilvl="2">
      <w:start w:val="1"/>
      <w:numFmt w:val="decimal"/>
      <w:lvlText w:val="%1.%2.%3."/>
      <w:lvlJc w:val="left"/>
      <w:pPr>
        <w:ind w:left="2420" w:hanging="720"/>
      </w:pPr>
      <w:rPr>
        <w:rFonts w:hint="default"/>
        <w:sz w:val="24"/>
      </w:rPr>
    </w:lvl>
    <w:lvl w:ilvl="3">
      <w:start w:val="1"/>
      <w:numFmt w:val="decimal"/>
      <w:lvlText w:val="%1.%2.%3.%4."/>
      <w:lvlJc w:val="left"/>
      <w:pPr>
        <w:ind w:left="3270" w:hanging="720"/>
      </w:pPr>
      <w:rPr>
        <w:rFonts w:hint="default"/>
        <w:sz w:val="24"/>
      </w:rPr>
    </w:lvl>
    <w:lvl w:ilvl="4">
      <w:start w:val="1"/>
      <w:numFmt w:val="decimal"/>
      <w:lvlText w:val="%1.%2.%3.%4.%5."/>
      <w:lvlJc w:val="left"/>
      <w:pPr>
        <w:ind w:left="4480" w:hanging="1080"/>
      </w:pPr>
      <w:rPr>
        <w:rFonts w:hint="default"/>
        <w:sz w:val="24"/>
      </w:rPr>
    </w:lvl>
    <w:lvl w:ilvl="5">
      <w:start w:val="1"/>
      <w:numFmt w:val="decimal"/>
      <w:lvlText w:val="%1.%2.%3.%4.%5.%6."/>
      <w:lvlJc w:val="left"/>
      <w:pPr>
        <w:ind w:left="5330" w:hanging="1080"/>
      </w:pPr>
      <w:rPr>
        <w:rFonts w:hint="default"/>
        <w:sz w:val="24"/>
      </w:rPr>
    </w:lvl>
    <w:lvl w:ilvl="6">
      <w:start w:val="1"/>
      <w:numFmt w:val="decimal"/>
      <w:lvlText w:val="%1.%2.%3.%4.%5.%6.%7."/>
      <w:lvlJc w:val="left"/>
      <w:pPr>
        <w:ind w:left="6540" w:hanging="1440"/>
      </w:pPr>
      <w:rPr>
        <w:rFonts w:hint="default"/>
        <w:sz w:val="24"/>
      </w:rPr>
    </w:lvl>
    <w:lvl w:ilvl="7">
      <w:start w:val="1"/>
      <w:numFmt w:val="decimal"/>
      <w:lvlText w:val="%1.%2.%3.%4.%5.%6.%7.%8."/>
      <w:lvlJc w:val="left"/>
      <w:pPr>
        <w:ind w:left="7390" w:hanging="1440"/>
      </w:pPr>
      <w:rPr>
        <w:rFonts w:hint="default"/>
        <w:sz w:val="24"/>
      </w:rPr>
    </w:lvl>
    <w:lvl w:ilvl="8">
      <w:start w:val="1"/>
      <w:numFmt w:val="decimal"/>
      <w:lvlText w:val="%1.%2.%3.%4.%5.%6.%7.%8.%9."/>
      <w:lvlJc w:val="left"/>
      <w:pPr>
        <w:ind w:left="8600" w:hanging="1800"/>
      </w:pPr>
      <w:rPr>
        <w:rFonts w:hint="default"/>
        <w:sz w:val="24"/>
      </w:rPr>
    </w:lvl>
  </w:abstractNum>
  <w:abstractNum w:abstractNumId="2" w15:restartNumberingAfterBreak="0">
    <w:nsid w:val="17A1474B"/>
    <w:multiLevelType w:val="hybridMultilevel"/>
    <w:tmpl w:val="123AB0F4"/>
    <w:lvl w:ilvl="0" w:tplc="01DEF634">
      <w:start w:val="1"/>
      <w:numFmt w:val="bullet"/>
      <w:lvlText w:val=""/>
      <w:lvlJc w:val="left"/>
      <w:pPr>
        <w:ind w:left="720" w:hanging="360"/>
      </w:pPr>
      <w:rPr>
        <w:rFonts w:ascii="Symbol" w:hAnsi="Symbol" w:hint="default"/>
      </w:rPr>
    </w:lvl>
    <w:lvl w:ilvl="1" w:tplc="EF58BA64">
      <w:start w:val="1"/>
      <w:numFmt w:val="bullet"/>
      <w:lvlText w:val="o"/>
      <w:lvlJc w:val="left"/>
      <w:pPr>
        <w:ind w:left="1440" w:hanging="360"/>
      </w:pPr>
      <w:rPr>
        <w:rFonts w:ascii="Courier New" w:hAnsi="Courier New" w:hint="default"/>
      </w:rPr>
    </w:lvl>
    <w:lvl w:ilvl="2" w:tplc="3078CA86">
      <w:start w:val="1"/>
      <w:numFmt w:val="bullet"/>
      <w:lvlText w:val=""/>
      <w:lvlJc w:val="left"/>
      <w:pPr>
        <w:ind w:left="2160" w:hanging="360"/>
      </w:pPr>
      <w:rPr>
        <w:rFonts w:ascii="Wingdings" w:hAnsi="Wingdings" w:hint="default"/>
      </w:rPr>
    </w:lvl>
    <w:lvl w:ilvl="3" w:tplc="05667220">
      <w:start w:val="1"/>
      <w:numFmt w:val="bullet"/>
      <w:lvlText w:val=""/>
      <w:lvlJc w:val="left"/>
      <w:pPr>
        <w:ind w:left="2880" w:hanging="360"/>
      </w:pPr>
      <w:rPr>
        <w:rFonts w:ascii="Symbol" w:hAnsi="Symbol" w:hint="default"/>
      </w:rPr>
    </w:lvl>
    <w:lvl w:ilvl="4" w:tplc="AF863106">
      <w:start w:val="1"/>
      <w:numFmt w:val="bullet"/>
      <w:lvlText w:val="o"/>
      <w:lvlJc w:val="left"/>
      <w:pPr>
        <w:ind w:left="3600" w:hanging="360"/>
      </w:pPr>
      <w:rPr>
        <w:rFonts w:ascii="Courier New" w:hAnsi="Courier New" w:hint="default"/>
      </w:rPr>
    </w:lvl>
    <w:lvl w:ilvl="5" w:tplc="076AC680">
      <w:start w:val="1"/>
      <w:numFmt w:val="bullet"/>
      <w:lvlText w:val=""/>
      <w:lvlJc w:val="left"/>
      <w:pPr>
        <w:ind w:left="4320" w:hanging="360"/>
      </w:pPr>
      <w:rPr>
        <w:rFonts w:ascii="Wingdings" w:hAnsi="Wingdings" w:hint="default"/>
      </w:rPr>
    </w:lvl>
    <w:lvl w:ilvl="6" w:tplc="B57CCCD6">
      <w:start w:val="1"/>
      <w:numFmt w:val="bullet"/>
      <w:lvlText w:val=""/>
      <w:lvlJc w:val="left"/>
      <w:pPr>
        <w:ind w:left="5040" w:hanging="360"/>
      </w:pPr>
      <w:rPr>
        <w:rFonts w:ascii="Symbol" w:hAnsi="Symbol" w:hint="default"/>
      </w:rPr>
    </w:lvl>
    <w:lvl w:ilvl="7" w:tplc="DF58BCF2">
      <w:start w:val="1"/>
      <w:numFmt w:val="bullet"/>
      <w:lvlText w:val="o"/>
      <w:lvlJc w:val="left"/>
      <w:pPr>
        <w:ind w:left="5760" w:hanging="360"/>
      </w:pPr>
      <w:rPr>
        <w:rFonts w:ascii="Courier New" w:hAnsi="Courier New" w:hint="default"/>
      </w:rPr>
    </w:lvl>
    <w:lvl w:ilvl="8" w:tplc="2B0E058C">
      <w:start w:val="1"/>
      <w:numFmt w:val="bullet"/>
      <w:lvlText w:val=""/>
      <w:lvlJc w:val="left"/>
      <w:pPr>
        <w:ind w:left="6480" w:hanging="360"/>
      </w:pPr>
      <w:rPr>
        <w:rFonts w:ascii="Wingdings" w:hAnsi="Wingdings" w:hint="default"/>
      </w:rPr>
    </w:lvl>
  </w:abstractNum>
  <w:abstractNum w:abstractNumId="3" w15:restartNumberingAfterBreak="0">
    <w:nsid w:val="19B54227"/>
    <w:multiLevelType w:val="hybridMultilevel"/>
    <w:tmpl w:val="A8E259D4"/>
    <w:lvl w:ilvl="0" w:tplc="B3B6BA8E">
      <w:start w:val="1"/>
      <w:numFmt w:val="bullet"/>
      <w:lvlText w:val=""/>
      <w:lvlJc w:val="left"/>
      <w:pPr>
        <w:ind w:left="720" w:hanging="360"/>
      </w:pPr>
      <w:rPr>
        <w:rFonts w:ascii="Symbol" w:hAnsi="Symbol" w:hint="default"/>
      </w:rPr>
    </w:lvl>
    <w:lvl w:ilvl="1" w:tplc="5CC4204E">
      <w:start w:val="1"/>
      <w:numFmt w:val="bullet"/>
      <w:lvlText w:val="o"/>
      <w:lvlJc w:val="left"/>
      <w:pPr>
        <w:ind w:left="1440" w:hanging="360"/>
      </w:pPr>
      <w:rPr>
        <w:rFonts w:ascii="Courier New" w:hAnsi="Courier New" w:hint="default"/>
      </w:rPr>
    </w:lvl>
    <w:lvl w:ilvl="2" w:tplc="B60C839A">
      <w:start w:val="1"/>
      <w:numFmt w:val="bullet"/>
      <w:lvlText w:val=""/>
      <w:lvlJc w:val="left"/>
      <w:pPr>
        <w:ind w:left="2160" w:hanging="360"/>
      </w:pPr>
      <w:rPr>
        <w:rFonts w:ascii="Wingdings" w:hAnsi="Wingdings" w:hint="default"/>
      </w:rPr>
    </w:lvl>
    <w:lvl w:ilvl="3" w:tplc="442CBBCE">
      <w:start w:val="1"/>
      <w:numFmt w:val="bullet"/>
      <w:lvlText w:val=""/>
      <w:lvlJc w:val="left"/>
      <w:pPr>
        <w:ind w:left="2880" w:hanging="360"/>
      </w:pPr>
      <w:rPr>
        <w:rFonts w:ascii="Symbol" w:hAnsi="Symbol" w:hint="default"/>
      </w:rPr>
    </w:lvl>
    <w:lvl w:ilvl="4" w:tplc="3E4E9E06">
      <w:start w:val="1"/>
      <w:numFmt w:val="bullet"/>
      <w:lvlText w:val="o"/>
      <w:lvlJc w:val="left"/>
      <w:pPr>
        <w:ind w:left="3600" w:hanging="360"/>
      </w:pPr>
      <w:rPr>
        <w:rFonts w:ascii="Courier New" w:hAnsi="Courier New" w:hint="default"/>
      </w:rPr>
    </w:lvl>
    <w:lvl w:ilvl="5" w:tplc="DF346DE0">
      <w:start w:val="1"/>
      <w:numFmt w:val="bullet"/>
      <w:lvlText w:val=""/>
      <w:lvlJc w:val="left"/>
      <w:pPr>
        <w:ind w:left="4320" w:hanging="360"/>
      </w:pPr>
      <w:rPr>
        <w:rFonts w:ascii="Wingdings" w:hAnsi="Wingdings" w:hint="default"/>
      </w:rPr>
    </w:lvl>
    <w:lvl w:ilvl="6" w:tplc="8FDC5190">
      <w:start w:val="1"/>
      <w:numFmt w:val="bullet"/>
      <w:lvlText w:val=""/>
      <w:lvlJc w:val="left"/>
      <w:pPr>
        <w:ind w:left="5040" w:hanging="360"/>
      </w:pPr>
      <w:rPr>
        <w:rFonts w:ascii="Symbol" w:hAnsi="Symbol" w:hint="default"/>
      </w:rPr>
    </w:lvl>
    <w:lvl w:ilvl="7" w:tplc="52FAC450">
      <w:start w:val="1"/>
      <w:numFmt w:val="bullet"/>
      <w:lvlText w:val="o"/>
      <w:lvlJc w:val="left"/>
      <w:pPr>
        <w:ind w:left="5760" w:hanging="360"/>
      </w:pPr>
      <w:rPr>
        <w:rFonts w:ascii="Courier New" w:hAnsi="Courier New" w:hint="default"/>
      </w:rPr>
    </w:lvl>
    <w:lvl w:ilvl="8" w:tplc="CBB0A30C">
      <w:start w:val="1"/>
      <w:numFmt w:val="bullet"/>
      <w:lvlText w:val=""/>
      <w:lvlJc w:val="left"/>
      <w:pPr>
        <w:ind w:left="6480" w:hanging="360"/>
      </w:pPr>
      <w:rPr>
        <w:rFonts w:ascii="Wingdings" w:hAnsi="Wingdings" w:hint="default"/>
      </w:rPr>
    </w:lvl>
  </w:abstractNum>
  <w:abstractNum w:abstractNumId="4" w15:restartNumberingAfterBreak="0">
    <w:nsid w:val="1EF0D2B3"/>
    <w:multiLevelType w:val="hybridMultilevel"/>
    <w:tmpl w:val="2B629E04"/>
    <w:lvl w:ilvl="0" w:tplc="9A86A2EC">
      <w:start w:val="1"/>
      <w:numFmt w:val="bullet"/>
      <w:lvlText w:val=""/>
      <w:lvlJc w:val="left"/>
      <w:pPr>
        <w:ind w:left="720" w:hanging="360"/>
      </w:pPr>
      <w:rPr>
        <w:rFonts w:ascii="Symbol" w:hAnsi="Symbol" w:hint="default"/>
      </w:rPr>
    </w:lvl>
    <w:lvl w:ilvl="1" w:tplc="DB46B4B2">
      <w:start w:val="1"/>
      <w:numFmt w:val="bullet"/>
      <w:lvlText w:val="o"/>
      <w:lvlJc w:val="left"/>
      <w:pPr>
        <w:ind w:left="1440" w:hanging="360"/>
      </w:pPr>
      <w:rPr>
        <w:rFonts w:ascii="Courier New" w:hAnsi="Courier New" w:hint="default"/>
      </w:rPr>
    </w:lvl>
    <w:lvl w:ilvl="2" w:tplc="8DE62386">
      <w:start w:val="1"/>
      <w:numFmt w:val="bullet"/>
      <w:lvlText w:val=""/>
      <w:lvlJc w:val="left"/>
      <w:pPr>
        <w:ind w:left="2160" w:hanging="360"/>
      </w:pPr>
      <w:rPr>
        <w:rFonts w:ascii="Wingdings" w:hAnsi="Wingdings" w:hint="default"/>
      </w:rPr>
    </w:lvl>
    <w:lvl w:ilvl="3" w:tplc="19460086">
      <w:start w:val="1"/>
      <w:numFmt w:val="bullet"/>
      <w:lvlText w:val=""/>
      <w:lvlJc w:val="left"/>
      <w:pPr>
        <w:ind w:left="2880" w:hanging="360"/>
      </w:pPr>
      <w:rPr>
        <w:rFonts w:ascii="Symbol" w:hAnsi="Symbol" w:hint="default"/>
      </w:rPr>
    </w:lvl>
    <w:lvl w:ilvl="4" w:tplc="60AC05C8">
      <w:start w:val="1"/>
      <w:numFmt w:val="bullet"/>
      <w:lvlText w:val="o"/>
      <w:lvlJc w:val="left"/>
      <w:pPr>
        <w:ind w:left="3600" w:hanging="360"/>
      </w:pPr>
      <w:rPr>
        <w:rFonts w:ascii="Courier New" w:hAnsi="Courier New" w:hint="default"/>
      </w:rPr>
    </w:lvl>
    <w:lvl w:ilvl="5" w:tplc="0EE49F9C">
      <w:start w:val="1"/>
      <w:numFmt w:val="bullet"/>
      <w:lvlText w:val=""/>
      <w:lvlJc w:val="left"/>
      <w:pPr>
        <w:ind w:left="4320" w:hanging="360"/>
      </w:pPr>
      <w:rPr>
        <w:rFonts w:ascii="Wingdings" w:hAnsi="Wingdings" w:hint="default"/>
      </w:rPr>
    </w:lvl>
    <w:lvl w:ilvl="6" w:tplc="A240EF6E">
      <w:start w:val="1"/>
      <w:numFmt w:val="bullet"/>
      <w:lvlText w:val=""/>
      <w:lvlJc w:val="left"/>
      <w:pPr>
        <w:ind w:left="5040" w:hanging="360"/>
      </w:pPr>
      <w:rPr>
        <w:rFonts w:ascii="Symbol" w:hAnsi="Symbol" w:hint="default"/>
      </w:rPr>
    </w:lvl>
    <w:lvl w:ilvl="7" w:tplc="F42A9EA0">
      <w:start w:val="1"/>
      <w:numFmt w:val="bullet"/>
      <w:lvlText w:val="o"/>
      <w:lvlJc w:val="left"/>
      <w:pPr>
        <w:ind w:left="5760" w:hanging="360"/>
      </w:pPr>
      <w:rPr>
        <w:rFonts w:ascii="Courier New" w:hAnsi="Courier New" w:hint="default"/>
      </w:rPr>
    </w:lvl>
    <w:lvl w:ilvl="8" w:tplc="C6982E82">
      <w:start w:val="1"/>
      <w:numFmt w:val="bullet"/>
      <w:lvlText w:val=""/>
      <w:lvlJc w:val="left"/>
      <w:pPr>
        <w:ind w:left="6480" w:hanging="360"/>
      </w:pPr>
      <w:rPr>
        <w:rFonts w:ascii="Wingdings" w:hAnsi="Wingdings" w:hint="default"/>
      </w:rPr>
    </w:lvl>
  </w:abstractNum>
  <w:abstractNum w:abstractNumId="5" w15:restartNumberingAfterBreak="0">
    <w:nsid w:val="275EBE80"/>
    <w:multiLevelType w:val="hybridMultilevel"/>
    <w:tmpl w:val="8418319A"/>
    <w:lvl w:ilvl="0" w:tplc="47D05EB2">
      <w:start w:val="1"/>
      <w:numFmt w:val="bullet"/>
      <w:lvlText w:val=""/>
      <w:lvlJc w:val="left"/>
      <w:pPr>
        <w:ind w:left="720" w:hanging="360"/>
      </w:pPr>
      <w:rPr>
        <w:rFonts w:ascii="Symbol" w:hAnsi="Symbol" w:hint="default"/>
      </w:rPr>
    </w:lvl>
    <w:lvl w:ilvl="1" w:tplc="64CA0A74">
      <w:start w:val="1"/>
      <w:numFmt w:val="bullet"/>
      <w:lvlText w:val="o"/>
      <w:lvlJc w:val="left"/>
      <w:pPr>
        <w:ind w:left="1440" w:hanging="360"/>
      </w:pPr>
      <w:rPr>
        <w:rFonts w:ascii="Courier New" w:hAnsi="Courier New" w:hint="default"/>
      </w:rPr>
    </w:lvl>
    <w:lvl w:ilvl="2" w:tplc="803C251A">
      <w:start w:val="1"/>
      <w:numFmt w:val="bullet"/>
      <w:lvlText w:val=""/>
      <w:lvlJc w:val="left"/>
      <w:pPr>
        <w:ind w:left="2160" w:hanging="360"/>
      </w:pPr>
      <w:rPr>
        <w:rFonts w:ascii="Wingdings" w:hAnsi="Wingdings" w:hint="default"/>
      </w:rPr>
    </w:lvl>
    <w:lvl w:ilvl="3" w:tplc="C6043BF8">
      <w:start w:val="1"/>
      <w:numFmt w:val="bullet"/>
      <w:lvlText w:val=""/>
      <w:lvlJc w:val="left"/>
      <w:pPr>
        <w:ind w:left="2880" w:hanging="360"/>
      </w:pPr>
      <w:rPr>
        <w:rFonts w:ascii="Symbol" w:hAnsi="Symbol" w:hint="default"/>
      </w:rPr>
    </w:lvl>
    <w:lvl w:ilvl="4" w:tplc="19CE451C">
      <w:start w:val="1"/>
      <w:numFmt w:val="bullet"/>
      <w:lvlText w:val="o"/>
      <w:lvlJc w:val="left"/>
      <w:pPr>
        <w:ind w:left="3600" w:hanging="360"/>
      </w:pPr>
      <w:rPr>
        <w:rFonts w:ascii="Courier New" w:hAnsi="Courier New" w:hint="default"/>
      </w:rPr>
    </w:lvl>
    <w:lvl w:ilvl="5" w:tplc="CF4AD970">
      <w:start w:val="1"/>
      <w:numFmt w:val="bullet"/>
      <w:lvlText w:val=""/>
      <w:lvlJc w:val="left"/>
      <w:pPr>
        <w:ind w:left="4320" w:hanging="360"/>
      </w:pPr>
      <w:rPr>
        <w:rFonts w:ascii="Wingdings" w:hAnsi="Wingdings" w:hint="default"/>
      </w:rPr>
    </w:lvl>
    <w:lvl w:ilvl="6" w:tplc="482C23FE">
      <w:start w:val="1"/>
      <w:numFmt w:val="bullet"/>
      <w:lvlText w:val=""/>
      <w:lvlJc w:val="left"/>
      <w:pPr>
        <w:ind w:left="5040" w:hanging="360"/>
      </w:pPr>
      <w:rPr>
        <w:rFonts w:ascii="Symbol" w:hAnsi="Symbol" w:hint="default"/>
      </w:rPr>
    </w:lvl>
    <w:lvl w:ilvl="7" w:tplc="149E325A">
      <w:start w:val="1"/>
      <w:numFmt w:val="bullet"/>
      <w:lvlText w:val="o"/>
      <w:lvlJc w:val="left"/>
      <w:pPr>
        <w:ind w:left="5760" w:hanging="360"/>
      </w:pPr>
      <w:rPr>
        <w:rFonts w:ascii="Courier New" w:hAnsi="Courier New" w:hint="default"/>
      </w:rPr>
    </w:lvl>
    <w:lvl w:ilvl="8" w:tplc="359AD482">
      <w:start w:val="1"/>
      <w:numFmt w:val="bullet"/>
      <w:lvlText w:val=""/>
      <w:lvlJc w:val="left"/>
      <w:pPr>
        <w:ind w:left="6480" w:hanging="360"/>
      </w:pPr>
      <w:rPr>
        <w:rFonts w:ascii="Wingdings" w:hAnsi="Wingdings" w:hint="default"/>
      </w:rPr>
    </w:lvl>
  </w:abstractNum>
  <w:abstractNum w:abstractNumId="6" w15:restartNumberingAfterBreak="0">
    <w:nsid w:val="3A951AC2"/>
    <w:multiLevelType w:val="hybridMultilevel"/>
    <w:tmpl w:val="802A4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9EE6F"/>
    <w:multiLevelType w:val="hybridMultilevel"/>
    <w:tmpl w:val="7918FAEC"/>
    <w:lvl w:ilvl="0" w:tplc="D58E6736">
      <w:start w:val="1"/>
      <w:numFmt w:val="bullet"/>
      <w:lvlText w:val=""/>
      <w:lvlJc w:val="left"/>
      <w:pPr>
        <w:ind w:left="720" w:hanging="360"/>
      </w:pPr>
      <w:rPr>
        <w:rFonts w:ascii="Symbol" w:hAnsi="Symbol" w:hint="default"/>
      </w:rPr>
    </w:lvl>
    <w:lvl w:ilvl="1" w:tplc="09F446A0">
      <w:start w:val="1"/>
      <w:numFmt w:val="bullet"/>
      <w:lvlText w:val="o"/>
      <w:lvlJc w:val="left"/>
      <w:pPr>
        <w:ind w:left="1440" w:hanging="360"/>
      </w:pPr>
      <w:rPr>
        <w:rFonts w:ascii="Courier New" w:hAnsi="Courier New" w:hint="default"/>
      </w:rPr>
    </w:lvl>
    <w:lvl w:ilvl="2" w:tplc="CF3CDE76">
      <w:start w:val="1"/>
      <w:numFmt w:val="bullet"/>
      <w:lvlText w:val=""/>
      <w:lvlJc w:val="left"/>
      <w:pPr>
        <w:ind w:left="2160" w:hanging="360"/>
      </w:pPr>
      <w:rPr>
        <w:rFonts w:ascii="Wingdings" w:hAnsi="Wingdings" w:hint="default"/>
      </w:rPr>
    </w:lvl>
    <w:lvl w:ilvl="3" w:tplc="11927072">
      <w:start w:val="1"/>
      <w:numFmt w:val="bullet"/>
      <w:lvlText w:val=""/>
      <w:lvlJc w:val="left"/>
      <w:pPr>
        <w:ind w:left="2880" w:hanging="360"/>
      </w:pPr>
      <w:rPr>
        <w:rFonts w:ascii="Symbol" w:hAnsi="Symbol" w:hint="default"/>
      </w:rPr>
    </w:lvl>
    <w:lvl w:ilvl="4" w:tplc="570CD1F4">
      <w:start w:val="1"/>
      <w:numFmt w:val="bullet"/>
      <w:lvlText w:val="o"/>
      <w:lvlJc w:val="left"/>
      <w:pPr>
        <w:ind w:left="3600" w:hanging="360"/>
      </w:pPr>
      <w:rPr>
        <w:rFonts w:ascii="Courier New" w:hAnsi="Courier New" w:hint="default"/>
      </w:rPr>
    </w:lvl>
    <w:lvl w:ilvl="5" w:tplc="2A545A00">
      <w:start w:val="1"/>
      <w:numFmt w:val="bullet"/>
      <w:lvlText w:val=""/>
      <w:lvlJc w:val="left"/>
      <w:pPr>
        <w:ind w:left="4320" w:hanging="360"/>
      </w:pPr>
      <w:rPr>
        <w:rFonts w:ascii="Wingdings" w:hAnsi="Wingdings" w:hint="default"/>
      </w:rPr>
    </w:lvl>
    <w:lvl w:ilvl="6" w:tplc="1AAA75FA">
      <w:start w:val="1"/>
      <w:numFmt w:val="bullet"/>
      <w:lvlText w:val=""/>
      <w:lvlJc w:val="left"/>
      <w:pPr>
        <w:ind w:left="5040" w:hanging="360"/>
      </w:pPr>
      <w:rPr>
        <w:rFonts w:ascii="Symbol" w:hAnsi="Symbol" w:hint="default"/>
      </w:rPr>
    </w:lvl>
    <w:lvl w:ilvl="7" w:tplc="9D74DF8E">
      <w:start w:val="1"/>
      <w:numFmt w:val="bullet"/>
      <w:lvlText w:val="o"/>
      <w:lvlJc w:val="left"/>
      <w:pPr>
        <w:ind w:left="5760" w:hanging="360"/>
      </w:pPr>
      <w:rPr>
        <w:rFonts w:ascii="Courier New" w:hAnsi="Courier New" w:hint="default"/>
      </w:rPr>
    </w:lvl>
    <w:lvl w:ilvl="8" w:tplc="CF768F0A">
      <w:start w:val="1"/>
      <w:numFmt w:val="bullet"/>
      <w:lvlText w:val=""/>
      <w:lvlJc w:val="left"/>
      <w:pPr>
        <w:ind w:left="6480" w:hanging="360"/>
      </w:pPr>
      <w:rPr>
        <w:rFonts w:ascii="Wingdings" w:hAnsi="Wingdings" w:hint="default"/>
      </w:rPr>
    </w:lvl>
  </w:abstractNum>
  <w:abstractNum w:abstractNumId="8" w15:restartNumberingAfterBreak="0">
    <w:nsid w:val="4B913E2C"/>
    <w:multiLevelType w:val="multilevel"/>
    <w:tmpl w:val="20E2CD30"/>
    <w:lvl w:ilvl="0">
      <w:start w:val="1"/>
      <w:numFmt w:val="decimal"/>
      <w:lvlText w:val="%1."/>
      <w:lvlJc w:val="left"/>
      <w:pPr>
        <w:ind w:left="360" w:hanging="360"/>
      </w:pPr>
      <w:rPr>
        <w:rFonts w:hint="default"/>
        <w:sz w:val="24"/>
      </w:rPr>
    </w:lvl>
    <w:lvl w:ilvl="1">
      <w:start w:val="1"/>
      <w:numFmt w:val="decimal"/>
      <w:lvlText w:val="%1.%2."/>
      <w:lvlJc w:val="left"/>
      <w:pPr>
        <w:ind w:left="1210" w:hanging="360"/>
      </w:pPr>
      <w:rPr>
        <w:rFonts w:hint="default"/>
        <w:sz w:val="22"/>
        <w:szCs w:val="21"/>
      </w:rPr>
    </w:lvl>
    <w:lvl w:ilvl="2">
      <w:start w:val="1"/>
      <w:numFmt w:val="decimal"/>
      <w:lvlText w:val="%1.%2.%3."/>
      <w:lvlJc w:val="left"/>
      <w:pPr>
        <w:ind w:left="2420" w:hanging="720"/>
      </w:pPr>
      <w:rPr>
        <w:rFonts w:hint="default"/>
        <w:sz w:val="24"/>
      </w:rPr>
    </w:lvl>
    <w:lvl w:ilvl="3">
      <w:start w:val="1"/>
      <w:numFmt w:val="decimal"/>
      <w:lvlText w:val="%1.%2.%3.%4."/>
      <w:lvlJc w:val="left"/>
      <w:pPr>
        <w:ind w:left="3270" w:hanging="720"/>
      </w:pPr>
      <w:rPr>
        <w:rFonts w:hint="default"/>
        <w:sz w:val="24"/>
      </w:rPr>
    </w:lvl>
    <w:lvl w:ilvl="4">
      <w:start w:val="1"/>
      <w:numFmt w:val="decimal"/>
      <w:lvlText w:val="%1.%2.%3.%4.%5."/>
      <w:lvlJc w:val="left"/>
      <w:pPr>
        <w:ind w:left="4480" w:hanging="1080"/>
      </w:pPr>
      <w:rPr>
        <w:rFonts w:hint="default"/>
        <w:sz w:val="24"/>
      </w:rPr>
    </w:lvl>
    <w:lvl w:ilvl="5">
      <w:start w:val="1"/>
      <w:numFmt w:val="decimal"/>
      <w:lvlText w:val="%1.%2.%3.%4.%5.%6."/>
      <w:lvlJc w:val="left"/>
      <w:pPr>
        <w:ind w:left="5330" w:hanging="1080"/>
      </w:pPr>
      <w:rPr>
        <w:rFonts w:hint="default"/>
        <w:sz w:val="24"/>
      </w:rPr>
    </w:lvl>
    <w:lvl w:ilvl="6">
      <w:start w:val="1"/>
      <w:numFmt w:val="decimal"/>
      <w:lvlText w:val="%1.%2.%3.%4.%5.%6.%7."/>
      <w:lvlJc w:val="left"/>
      <w:pPr>
        <w:ind w:left="6540" w:hanging="1440"/>
      </w:pPr>
      <w:rPr>
        <w:rFonts w:hint="default"/>
        <w:sz w:val="24"/>
      </w:rPr>
    </w:lvl>
    <w:lvl w:ilvl="7">
      <w:start w:val="1"/>
      <w:numFmt w:val="decimal"/>
      <w:lvlText w:val="%1.%2.%3.%4.%5.%6.%7.%8."/>
      <w:lvlJc w:val="left"/>
      <w:pPr>
        <w:ind w:left="7390" w:hanging="1440"/>
      </w:pPr>
      <w:rPr>
        <w:rFonts w:hint="default"/>
        <w:sz w:val="24"/>
      </w:rPr>
    </w:lvl>
    <w:lvl w:ilvl="8">
      <w:start w:val="1"/>
      <w:numFmt w:val="decimal"/>
      <w:lvlText w:val="%1.%2.%3.%4.%5.%6.%7.%8.%9."/>
      <w:lvlJc w:val="left"/>
      <w:pPr>
        <w:ind w:left="8600" w:hanging="1800"/>
      </w:pPr>
      <w:rPr>
        <w:rFonts w:hint="default"/>
        <w:sz w:val="24"/>
      </w:rPr>
    </w:lvl>
  </w:abstractNum>
  <w:abstractNum w:abstractNumId="9" w15:restartNumberingAfterBreak="0">
    <w:nsid w:val="5485EECA"/>
    <w:multiLevelType w:val="hybridMultilevel"/>
    <w:tmpl w:val="FAA4F12C"/>
    <w:lvl w:ilvl="0" w:tplc="C432694A">
      <w:start w:val="1"/>
      <w:numFmt w:val="bullet"/>
      <w:lvlText w:val=""/>
      <w:lvlJc w:val="left"/>
      <w:pPr>
        <w:ind w:left="720" w:hanging="360"/>
      </w:pPr>
      <w:rPr>
        <w:rFonts w:ascii="Symbol" w:hAnsi="Symbol" w:hint="default"/>
      </w:rPr>
    </w:lvl>
    <w:lvl w:ilvl="1" w:tplc="A55A21F6">
      <w:start w:val="1"/>
      <w:numFmt w:val="bullet"/>
      <w:lvlText w:val="o"/>
      <w:lvlJc w:val="left"/>
      <w:pPr>
        <w:ind w:left="1440" w:hanging="360"/>
      </w:pPr>
      <w:rPr>
        <w:rFonts w:ascii="Courier New" w:hAnsi="Courier New" w:hint="default"/>
      </w:rPr>
    </w:lvl>
    <w:lvl w:ilvl="2" w:tplc="5BB0D0F2">
      <w:start w:val="1"/>
      <w:numFmt w:val="bullet"/>
      <w:lvlText w:val=""/>
      <w:lvlJc w:val="left"/>
      <w:pPr>
        <w:ind w:left="2160" w:hanging="360"/>
      </w:pPr>
      <w:rPr>
        <w:rFonts w:ascii="Wingdings" w:hAnsi="Wingdings" w:hint="default"/>
      </w:rPr>
    </w:lvl>
    <w:lvl w:ilvl="3" w:tplc="5FB89FA8">
      <w:start w:val="1"/>
      <w:numFmt w:val="bullet"/>
      <w:lvlText w:val=""/>
      <w:lvlJc w:val="left"/>
      <w:pPr>
        <w:ind w:left="2880" w:hanging="360"/>
      </w:pPr>
      <w:rPr>
        <w:rFonts w:ascii="Symbol" w:hAnsi="Symbol" w:hint="default"/>
      </w:rPr>
    </w:lvl>
    <w:lvl w:ilvl="4" w:tplc="5AC47852">
      <w:start w:val="1"/>
      <w:numFmt w:val="bullet"/>
      <w:lvlText w:val="o"/>
      <w:lvlJc w:val="left"/>
      <w:pPr>
        <w:ind w:left="3600" w:hanging="360"/>
      </w:pPr>
      <w:rPr>
        <w:rFonts w:ascii="Courier New" w:hAnsi="Courier New" w:hint="default"/>
      </w:rPr>
    </w:lvl>
    <w:lvl w:ilvl="5" w:tplc="7FD0EE8E">
      <w:start w:val="1"/>
      <w:numFmt w:val="bullet"/>
      <w:lvlText w:val=""/>
      <w:lvlJc w:val="left"/>
      <w:pPr>
        <w:ind w:left="4320" w:hanging="360"/>
      </w:pPr>
      <w:rPr>
        <w:rFonts w:ascii="Wingdings" w:hAnsi="Wingdings" w:hint="default"/>
      </w:rPr>
    </w:lvl>
    <w:lvl w:ilvl="6" w:tplc="737E463A">
      <w:start w:val="1"/>
      <w:numFmt w:val="bullet"/>
      <w:lvlText w:val=""/>
      <w:lvlJc w:val="left"/>
      <w:pPr>
        <w:ind w:left="5040" w:hanging="360"/>
      </w:pPr>
      <w:rPr>
        <w:rFonts w:ascii="Symbol" w:hAnsi="Symbol" w:hint="default"/>
      </w:rPr>
    </w:lvl>
    <w:lvl w:ilvl="7" w:tplc="A9FA5FA2">
      <w:start w:val="1"/>
      <w:numFmt w:val="bullet"/>
      <w:lvlText w:val="o"/>
      <w:lvlJc w:val="left"/>
      <w:pPr>
        <w:ind w:left="5760" w:hanging="360"/>
      </w:pPr>
      <w:rPr>
        <w:rFonts w:ascii="Courier New" w:hAnsi="Courier New" w:hint="default"/>
      </w:rPr>
    </w:lvl>
    <w:lvl w:ilvl="8" w:tplc="647C7584">
      <w:start w:val="1"/>
      <w:numFmt w:val="bullet"/>
      <w:lvlText w:val=""/>
      <w:lvlJc w:val="left"/>
      <w:pPr>
        <w:ind w:left="6480" w:hanging="360"/>
      </w:pPr>
      <w:rPr>
        <w:rFonts w:ascii="Wingdings" w:hAnsi="Wingdings" w:hint="default"/>
      </w:rPr>
    </w:lvl>
  </w:abstractNum>
  <w:abstractNum w:abstractNumId="10" w15:restartNumberingAfterBreak="0">
    <w:nsid w:val="5ADBB684"/>
    <w:multiLevelType w:val="multilevel"/>
    <w:tmpl w:val="2A86CA84"/>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74C386"/>
    <w:multiLevelType w:val="hybridMultilevel"/>
    <w:tmpl w:val="2E14F9B0"/>
    <w:lvl w:ilvl="0" w:tplc="5C94153A">
      <w:start w:val="1"/>
      <w:numFmt w:val="bullet"/>
      <w:lvlText w:val=""/>
      <w:lvlJc w:val="left"/>
      <w:pPr>
        <w:ind w:left="720" w:hanging="360"/>
      </w:pPr>
      <w:rPr>
        <w:rFonts w:ascii="Symbol" w:hAnsi="Symbol" w:hint="default"/>
      </w:rPr>
    </w:lvl>
    <w:lvl w:ilvl="1" w:tplc="C896BA94">
      <w:start w:val="1"/>
      <w:numFmt w:val="bullet"/>
      <w:lvlText w:val="o"/>
      <w:lvlJc w:val="left"/>
      <w:pPr>
        <w:ind w:left="1440" w:hanging="360"/>
      </w:pPr>
      <w:rPr>
        <w:rFonts w:ascii="Courier New" w:hAnsi="Courier New" w:hint="default"/>
      </w:rPr>
    </w:lvl>
    <w:lvl w:ilvl="2" w:tplc="787455FC">
      <w:start w:val="1"/>
      <w:numFmt w:val="bullet"/>
      <w:lvlText w:val=""/>
      <w:lvlJc w:val="left"/>
      <w:pPr>
        <w:ind w:left="2160" w:hanging="360"/>
      </w:pPr>
      <w:rPr>
        <w:rFonts w:ascii="Wingdings" w:hAnsi="Wingdings" w:hint="default"/>
      </w:rPr>
    </w:lvl>
    <w:lvl w:ilvl="3" w:tplc="0AC2FD8A">
      <w:start w:val="1"/>
      <w:numFmt w:val="bullet"/>
      <w:lvlText w:val=""/>
      <w:lvlJc w:val="left"/>
      <w:pPr>
        <w:ind w:left="2880" w:hanging="360"/>
      </w:pPr>
      <w:rPr>
        <w:rFonts w:ascii="Symbol" w:hAnsi="Symbol" w:hint="default"/>
      </w:rPr>
    </w:lvl>
    <w:lvl w:ilvl="4" w:tplc="2416B630">
      <w:start w:val="1"/>
      <w:numFmt w:val="bullet"/>
      <w:lvlText w:val="o"/>
      <w:lvlJc w:val="left"/>
      <w:pPr>
        <w:ind w:left="3600" w:hanging="360"/>
      </w:pPr>
      <w:rPr>
        <w:rFonts w:ascii="Courier New" w:hAnsi="Courier New" w:hint="default"/>
      </w:rPr>
    </w:lvl>
    <w:lvl w:ilvl="5" w:tplc="EF16BCA2">
      <w:start w:val="1"/>
      <w:numFmt w:val="bullet"/>
      <w:lvlText w:val=""/>
      <w:lvlJc w:val="left"/>
      <w:pPr>
        <w:ind w:left="4320" w:hanging="360"/>
      </w:pPr>
      <w:rPr>
        <w:rFonts w:ascii="Wingdings" w:hAnsi="Wingdings" w:hint="default"/>
      </w:rPr>
    </w:lvl>
    <w:lvl w:ilvl="6" w:tplc="25EE5D80">
      <w:start w:val="1"/>
      <w:numFmt w:val="bullet"/>
      <w:lvlText w:val=""/>
      <w:lvlJc w:val="left"/>
      <w:pPr>
        <w:ind w:left="5040" w:hanging="360"/>
      </w:pPr>
      <w:rPr>
        <w:rFonts w:ascii="Symbol" w:hAnsi="Symbol" w:hint="default"/>
      </w:rPr>
    </w:lvl>
    <w:lvl w:ilvl="7" w:tplc="7C2885AA">
      <w:start w:val="1"/>
      <w:numFmt w:val="bullet"/>
      <w:lvlText w:val="o"/>
      <w:lvlJc w:val="left"/>
      <w:pPr>
        <w:ind w:left="5760" w:hanging="360"/>
      </w:pPr>
      <w:rPr>
        <w:rFonts w:ascii="Courier New" w:hAnsi="Courier New" w:hint="default"/>
      </w:rPr>
    </w:lvl>
    <w:lvl w:ilvl="8" w:tplc="34CCDFFA">
      <w:start w:val="1"/>
      <w:numFmt w:val="bullet"/>
      <w:lvlText w:val=""/>
      <w:lvlJc w:val="left"/>
      <w:pPr>
        <w:ind w:left="6480" w:hanging="360"/>
      </w:pPr>
      <w:rPr>
        <w:rFonts w:ascii="Wingdings" w:hAnsi="Wingdings" w:hint="default"/>
      </w:rPr>
    </w:lvl>
  </w:abstractNum>
  <w:abstractNum w:abstractNumId="12" w15:restartNumberingAfterBreak="0">
    <w:nsid w:val="5E814072"/>
    <w:multiLevelType w:val="multilevel"/>
    <w:tmpl w:val="342C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B1C6D1"/>
    <w:multiLevelType w:val="hybridMultilevel"/>
    <w:tmpl w:val="3B8026BA"/>
    <w:lvl w:ilvl="0" w:tplc="2714B726">
      <w:start w:val="1"/>
      <w:numFmt w:val="decimal"/>
      <w:lvlText w:val="%1."/>
      <w:lvlJc w:val="left"/>
      <w:pPr>
        <w:ind w:left="720" w:hanging="360"/>
      </w:pPr>
    </w:lvl>
    <w:lvl w:ilvl="1" w:tplc="D7BE171E">
      <w:start w:val="1"/>
      <w:numFmt w:val="lowerLetter"/>
      <w:lvlText w:val="%2."/>
      <w:lvlJc w:val="left"/>
      <w:pPr>
        <w:ind w:left="1440" w:hanging="360"/>
      </w:pPr>
    </w:lvl>
    <w:lvl w:ilvl="2" w:tplc="19460962">
      <w:start w:val="1"/>
      <w:numFmt w:val="lowerRoman"/>
      <w:lvlText w:val="%3."/>
      <w:lvlJc w:val="right"/>
      <w:pPr>
        <w:ind w:left="2160" w:hanging="180"/>
      </w:pPr>
    </w:lvl>
    <w:lvl w:ilvl="3" w:tplc="5C6048BC">
      <w:start w:val="1"/>
      <w:numFmt w:val="decimal"/>
      <w:lvlText w:val="%4."/>
      <w:lvlJc w:val="left"/>
      <w:pPr>
        <w:ind w:left="2880" w:hanging="360"/>
      </w:pPr>
    </w:lvl>
    <w:lvl w:ilvl="4" w:tplc="E73EE5BC">
      <w:start w:val="1"/>
      <w:numFmt w:val="lowerLetter"/>
      <w:lvlText w:val="%5."/>
      <w:lvlJc w:val="left"/>
      <w:pPr>
        <w:ind w:left="3600" w:hanging="360"/>
      </w:pPr>
    </w:lvl>
    <w:lvl w:ilvl="5" w:tplc="2434357C">
      <w:start w:val="1"/>
      <w:numFmt w:val="lowerRoman"/>
      <w:lvlText w:val="%6."/>
      <w:lvlJc w:val="right"/>
      <w:pPr>
        <w:ind w:left="4320" w:hanging="180"/>
      </w:pPr>
    </w:lvl>
    <w:lvl w:ilvl="6" w:tplc="5D6417DE">
      <w:start w:val="1"/>
      <w:numFmt w:val="decimal"/>
      <w:lvlText w:val="%7."/>
      <w:lvlJc w:val="left"/>
      <w:pPr>
        <w:ind w:left="5040" w:hanging="360"/>
      </w:pPr>
    </w:lvl>
    <w:lvl w:ilvl="7" w:tplc="20608A60">
      <w:start w:val="1"/>
      <w:numFmt w:val="lowerLetter"/>
      <w:lvlText w:val="%8."/>
      <w:lvlJc w:val="left"/>
      <w:pPr>
        <w:ind w:left="5760" w:hanging="360"/>
      </w:pPr>
    </w:lvl>
    <w:lvl w:ilvl="8" w:tplc="2A2C33DA">
      <w:start w:val="1"/>
      <w:numFmt w:val="lowerRoman"/>
      <w:lvlText w:val="%9."/>
      <w:lvlJc w:val="right"/>
      <w:pPr>
        <w:ind w:left="6480" w:hanging="180"/>
      </w:pPr>
    </w:lvl>
  </w:abstractNum>
  <w:abstractNum w:abstractNumId="14" w15:restartNumberingAfterBreak="0">
    <w:nsid w:val="65F9607A"/>
    <w:multiLevelType w:val="hybridMultilevel"/>
    <w:tmpl w:val="FC26F2BA"/>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5" w15:restartNumberingAfterBreak="0">
    <w:nsid w:val="662C2CD6"/>
    <w:multiLevelType w:val="hybridMultilevel"/>
    <w:tmpl w:val="77C66E34"/>
    <w:lvl w:ilvl="0" w:tplc="48D21434">
      <w:start w:val="1"/>
      <w:numFmt w:val="bullet"/>
      <w:lvlText w:val=""/>
      <w:lvlJc w:val="left"/>
      <w:pPr>
        <w:ind w:left="720" w:hanging="360"/>
      </w:pPr>
      <w:rPr>
        <w:rFonts w:ascii="Symbol" w:hAnsi="Symbol" w:hint="default"/>
      </w:rPr>
    </w:lvl>
    <w:lvl w:ilvl="1" w:tplc="637AAD32">
      <w:start w:val="1"/>
      <w:numFmt w:val="bullet"/>
      <w:lvlText w:val="o"/>
      <w:lvlJc w:val="left"/>
      <w:pPr>
        <w:ind w:left="1440" w:hanging="360"/>
      </w:pPr>
      <w:rPr>
        <w:rFonts w:ascii="Courier New" w:hAnsi="Courier New" w:hint="default"/>
      </w:rPr>
    </w:lvl>
    <w:lvl w:ilvl="2" w:tplc="02363F74">
      <w:start w:val="1"/>
      <w:numFmt w:val="bullet"/>
      <w:lvlText w:val=""/>
      <w:lvlJc w:val="left"/>
      <w:pPr>
        <w:ind w:left="2160" w:hanging="360"/>
      </w:pPr>
      <w:rPr>
        <w:rFonts w:ascii="Wingdings" w:hAnsi="Wingdings" w:hint="default"/>
      </w:rPr>
    </w:lvl>
    <w:lvl w:ilvl="3" w:tplc="AFCCD27E">
      <w:start w:val="1"/>
      <w:numFmt w:val="bullet"/>
      <w:lvlText w:val=""/>
      <w:lvlJc w:val="left"/>
      <w:pPr>
        <w:ind w:left="2880" w:hanging="360"/>
      </w:pPr>
      <w:rPr>
        <w:rFonts w:ascii="Symbol" w:hAnsi="Symbol" w:hint="default"/>
      </w:rPr>
    </w:lvl>
    <w:lvl w:ilvl="4" w:tplc="E4960060">
      <w:start w:val="1"/>
      <w:numFmt w:val="bullet"/>
      <w:lvlText w:val="o"/>
      <w:lvlJc w:val="left"/>
      <w:pPr>
        <w:ind w:left="3600" w:hanging="360"/>
      </w:pPr>
      <w:rPr>
        <w:rFonts w:ascii="Courier New" w:hAnsi="Courier New" w:hint="default"/>
      </w:rPr>
    </w:lvl>
    <w:lvl w:ilvl="5" w:tplc="E1E6EB58">
      <w:start w:val="1"/>
      <w:numFmt w:val="bullet"/>
      <w:lvlText w:val=""/>
      <w:lvlJc w:val="left"/>
      <w:pPr>
        <w:ind w:left="4320" w:hanging="360"/>
      </w:pPr>
      <w:rPr>
        <w:rFonts w:ascii="Wingdings" w:hAnsi="Wingdings" w:hint="default"/>
      </w:rPr>
    </w:lvl>
    <w:lvl w:ilvl="6" w:tplc="4D704E98">
      <w:start w:val="1"/>
      <w:numFmt w:val="bullet"/>
      <w:lvlText w:val=""/>
      <w:lvlJc w:val="left"/>
      <w:pPr>
        <w:ind w:left="5040" w:hanging="360"/>
      </w:pPr>
      <w:rPr>
        <w:rFonts w:ascii="Symbol" w:hAnsi="Symbol" w:hint="default"/>
      </w:rPr>
    </w:lvl>
    <w:lvl w:ilvl="7" w:tplc="861E97A2">
      <w:start w:val="1"/>
      <w:numFmt w:val="bullet"/>
      <w:lvlText w:val="o"/>
      <w:lvlJc w:val="left"/>
      <w:pPr>
        <w:ind w:left="5760" w:hanging="360"/>
      </w:pPr>
      <w:rPr>
        <w:rFonts w:ascii="Courier New" w:hAnsi="Courier New" w:hint="default"/>
      </w:rPr>
    </w:lvl>
    <w:lvl w:ilvl="8" w:tplc="C1FC98D8">
      <w:start w:val="1"/>
      <w:numFmt w:val="bullet"/>
      <w:lvlText w:val=""/>
      <w:lvlJc w:val="left"/>
      <w:pPr>
        <w:ind w:left="6480" w:hanging="360"/>
      </w:pPr>
      <w:rPr>
        <w:rFonts w:ascii="Wingdings" w:hAnsi="Wingdings" w:hint="default"/>
      </w:rPr>
    </w:lvl>
  </w:abstractNum>
  <w:abstractNum w:abstractNumId="16" w15:restartNumberingAfterBreak="0">
    <w:nsid w:val="6BC374E8"/>
    <w:multiLevelType w:val="multilevel"/>
    <w:tmpl w:val="93F466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0E02DA4"/>
    <w:multiLevelType w:val="hybridMultilevel"/>
    <w:tmpl w:val="FDEE5ED2"/>
    <w:lvl w:ilvl="0" w:tplc="0A886038">
      <w:start w:val="1"/>
      <w:numFmt w:val="bullet"/>
      <w:lvlText w:val=""/>
      <w:lvlJc w:val="left"/>
      <w:pPr>
        <w:ind w:left="720" w:hanging="360"/>
      </w:pPr>
      <w:rPr>
        <w:rFonts w:ascii="Symbol" w:hAnsi="Symbol" w:hint="default"/>
      </w:rPr>
    </w:lvl>
    <w:lvl w:ilvl="1" w:tplc="E1948946">
      <w:start w:val="1"/>
      <w:numFmt w:val="bullet"/>
      <w:lvlText w:val="o"/>
      <w:lvlJc w:val="left"/>
      <w:pPr>
        <w:ind w:left="1440" w:hanging="360"/>
      </w:pPr>
      <w:rPr>
        <w:rFonts w:ascii="Courier New" w:hAnsi="Courier New" w:hint="default"/>
      </w:rPr>
    </w:lvl>
    <w:lvl w:ilvl="2" w:tplc="BD920BA0">
      <w:start w:val="1"/>
      <w:numFmt w:val="bullet"/>
      <w:lvlText w:val=""/>
      <w:lvlJc w:val="left"/>
      <w:pPr>
        <w:ind w:left="2160" w:hanging="360"/>
      </w:pPr>
      <w:rPr>
        <w:rFonts w:ascii="Wingdings" w:hAnsi="Wingdings" w:hint="default"/>
      </w:rPr>
    </w:lvl>
    <w:lvl w:ilvl="3" w:tplc="45CAE5BC">
      <w:start w:val="1"/>
      <w:numFmt w:val="bullet"/>
      <w:lvlText w:val=""/>
      <w:lvlJc w:val="left"/>
      <w:pPr>
        <w:ind w:left="2880" w:hanging="360"/>
      </w:pPr>
      <w:rPr>
        <w:rFonts w:ascii="Symbol" w:hAnsi="Symbol" w:hint="default"/>
      </w:rPr>
    </w:lvl>
    <w:lvl w:ilvl="4" w:tplc="145428F0">
      <w:start w:val="1"/>
      <w:numFmt w:val="bullet"/>
      <w:lvlText w:val="o"/>
      <w:lvlJc w:val="left"/>
      <w:pPr>
        <w:ind w:left="3600" w:hanging="360"/>
      </w:pPr>
      <w:rPr>
        <w:rFonts w:ascii="Courier New" w:hAnsi="Courier New" w:hint="default"/>
      </w:rPr>
    </w:lvl>
    <w:lvl w:ilvl="5" w:tplc="D8FAADFA">
      <w:start w:val="1"/>
      <w:numFmt w:val="bullet"/>
      <w:lvlText w:val=""/>
      <w:lvlJc w:val="left"/>
      <w:pPr>
        <w:ind w:left="4320" w:hanging="360"/>
      </w:pPr>
      <w:rPr>
        <w:rFonts w:ascii="Wingdings" w:hAnsi="Wingdings" w:hint="default"/>
      </w:rPr>
    </w:lvl>
    <w:lvl w:ilvl="6" w:tplc="C3EA5DFE">
      <w:start w:val="1"/>
      <w:numFmt w:val="bullet"/>
      <w:lvlText w:val=""/>
      <w:lvlJc w:val="left"/>
      <w:pPr>
        <w:ind w:left="5040" w:hanging="360"/>
      </w:pPr>
      <w:rPr>
        <w:rFonts w:ascii="Symbol" w:hAnsi="Symbol" w:hint="default"/>
      </w:rPr>
    </w:lvl>
    <w:lvl w:ilvl="7" w:tplc="4176C6CE">
      <w:start w:val="1"/>
      <w:numFmt w:val="bullet"/>
      <w:lvlText w:val="o"/>
      <w:lvlJc w:val="left"/>
      <w:pPr>
        <w:ind w:left="5760" w:hanging="360"/>
      </w:pPr>
      <w:rPr>
        <w:rFonts w:ascii="Courier New" w:hAnsi="Courier New" w:hint="default"/>
      </w:rPr>
    </w:lvl>
    <w:lvl w:ilvl="8" w:tplc="85FEC12E">
      <w:start w:val="1"/>
      <w:numFmt w:val="bullet"/>
      <w:lvlText w:val=""/>
      <w:lvlJc w:val="left"/>
      <w:pPr>
        <w:ind w:left="6480" w:hanging="360"/>
      </w:pPr>
      <w:rPr>
        <w:rFonts w:ascii="Wingdings" w:hAnsi="Wingdings" w:hint="default"/>
      </w:rPr>
    </w:lvl>
  </w:abstractNum>
  <w:abstractNum w:abstractNumId="18" w15:restartNumberingAfterBreak="0">
    <w:nsid w:val="76474E61"/>
    <w:multiLevelType w:val="multilevel"/>
    <w:tmpl w:val="5896F6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7498991">
    <w:abstractNumId w:val="5"/>
  </w:num>
  <w:num w:numId="2" w16cid:durableId="660735896">
    <w:abstractNumId w:val="17"/>
  </w:num>
  <w:num w:numId="3" w16cid:durableId="632637034">
    <w:abstractNumId w:val="7"/>
  </w:num>
  <w:num w:numId="4" w16cid:durableId="1712808001">
    <w:abstractNumId w:val="13"/>
  </w:num>
  <w:num w:numId="5" w16cid:durableId="1791775807">
    <w:abstractNumId w:val="3"/>
  </w:num>
  <w:num w:numId="6" w16cid:durableId="398526216">
    <w:abstractNumId w:val="0"/>
  </w:num>
  <w:num w:numId="7" w16cid:durableId="1755858701">
    <w:abstractNumId w:val="11"/>
  </w:num>
  <w:num w:numId="8" w16cid:durableId="2065257311">
    <w:abstractNumId w:val="2"/>
  </w:num>
  <w:num w:numId="9" w16cid:durableId="895897356">
    <w:abstractNumId w:val="4"/>
  </w:num>
  <w:num w:numId="10" w16cid:durableId="18241868">
    <w:abstractNumId w:val="15"/>
  </w:num>
  <w:num w:numId="11" w16cid:durableId="1559052060">
    <w:abstractNumId w:val="9"/>
  </w:num>
  <w:num w:numId="12" w16cid:durableId="1490099903">
    <w:abstractNumId w:val="8"/>
  </w:num>
  <w:num w:numId="13" w16cid:durableId="322124290">
    <w:abstractNumId w:val="1"/>
  </w:num>
  <w:num w:numId="14" w16cid:durableId="1711150576">
    <w:abstractNumId w:val="18"/>
  </w:num>
  <w:num w:numId="15" w16cid:durableId="2094551371">
    <w:abstractNumId w:val="14"/>
  </w:num>
  <w:num w:numId="16" w16cid:durableId="384719694">
    <w:abstractNumId w:val="10"/>
  </w:num>
  <w:num w:numId="17" w16cid:durableId="1844121134">
    <w:abstractNumId w:val="12"/>
  </w:num>
  <w:num w:numId="18" w16cid:durableId="250048197">
    <w:abstractNumId w:val="6"/>
  </w:num>
  <w:num w:numId="19" w16cid:durableId="15309925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defaultTabStop w:val="709"/>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938"/>
    <w:rsid w:val="0000EEF5"/>
    <w:rsid w:val="000334B7"/>
    <w:rsid w:val="00033890"/>
    <w:rsid w:val="000349F3"/>
    <w:rsid w:val="00064F4D"/>
    <w:rsid w:val="000A1D8C"/>
    <w:rsid w:val="001036BA"/>
    <w:rsid w:val="00133772"/>
    <w:rsid w:val="001513CF"/>
    <w:rsid w:val="00170C2A"/>
    <w:rsid w:val="00186ABF"/>
    <w:rsid w:val="00190898"/>
    <w:rsid w:val="001C5763"/>
    <w:rsid w:val="001EC850"/>
    <w:rsid w:val="001F0F80"/>
    <w:rsid w:val="00200E42"/>
    <w:rsid w:val="002620AF"/>
    <w:rsid w:val="00275D8A"/>
    <w:rsid w:val="00282358"/>
    <w:rsid w:val="0029772A"/>
    <w:rsid w:val="002E61F4"/>
    <w:rsid w:val="0032305A"/>
    <w:rsid w:val="00323200"/>
    <w:rsid w:val="00325E79"/>
    <w:rsid w:val="00345596"/>
    <w:rsid w:val="0035362E"/>
    <w:rsid w:val="003546DD"/>
    <w:rsid w:val="00371284"/>
    <w:rsid w:val="00375F1D"/>
    <w:rsid w:val="0037EFCE"/>
    <w:rsid w:val="00396FFD"/>
    <w:rsid w:val="003A18C7"/>
    <w:rsid w:val="003B6192"/>
    <w:rsid w:val="003C76F8"/>
    <w:rsid w:val="003E3C00"/>
    <w:rsid w:val="003F587C"/>
    <w:rsid w:val="004075FA"/>
    <w:rsid w:val="00432F2D"/>
    <w:rsid w:val="00463166"/>
    <w:rsid w:val="00466655"/>
    <w:rsid w:val="004709E4"/>
    <w:rsid w:val="004A04CD"/>
    <w:rsid w:val="004A7099"/>
    <w:rsid w:val="004B473B"/>
    <w:rsid w:val="004B56CF"/>
    <w:rsid w:val="004C2909"/>
    <w:rsid w:val="004D3836"/>
    <w:rsid w:val="005358F4"/>
    <w:rsid w:val="00545ED1"/>
    <w:rsid w:val="00553313"/>
    <w:rsid w:val="005613E2"/>
    <w:rsid w:val="00585569"/>
    <w:rsid w:val="005971E6"/>
    <w:rsid w:val="005B4A09"/>
    <w:rsid w:val="005B4D5E"/>
    <w:rsid w:val="005C57F7"/>
    <w:rsid w:val="005C7AB8"/>
    <w:rsid w:val="00602F76"/>
    <w:rsid w:val="00603CBC"/>
    <w:rsid w:val="00631750"/>
    <w:rsid w:val="00641A1A"/>
    <w:rsid w:val="006430E4"/>
    <w:rsid w:val="00682296"/>
    <w:rsid w:val="00691FCF"/>
    <w:rsid w:val="006B4C82"/>
    <w:rsid w:val="006F5EDE"/>
    <w:rsid w:val="00702223"/>
    <w:rsid w:val="00711069"/>
    <w:rsid w:val="007260E5"/>
    <w:rsid w:val="00736C4B"/>
    <w:rsid w:val="007613E5"/>
    <w:rsid w:val="007C121D"/>
    <w:rsid w:val="00814AA5"/>
    <w:rsid w:val="00815EFD"/>
    <w:rsid w:val="008270DE"/>
    <w:rsid w:val="00835760"/>
    <w:rsid w:val="0084727E"/>
    <w:rsid w:val="008AC21E"/>
    <w:rsid w:val="008C1F43"/>
    <w:rsid w:val="00906456"/>
    <w:rsid w:val="00907021"/>
    <w:rsid w:val="00916A28"/>
    <w:rsid w:val="009440E0"/>
    <w:rsid w:val="0095260B"/>
    <w:rsid w:val="00961CCD"/>
    <w:rsid w:val="00967250"/>
    <w:rsid w:val="009B4BFF"/>
    <w:rsid w:val="009C2E00"/>
    <w:rsid w:val="009D5161"/>
    <w:rsid w:val="009D62D5"/>
    <w:rsid w:val="009E65F0"/>
    <w:rsid w:val="00A044BD"/>
    <w:rsid w:val="00A1187C"/>
    <w:rsid w:val="00A21AAC"/>
    <w:rsid w:val="00A25A88"/>
    <w:rsid w:val="00A26107"/>
    <w:rsid w:val="00A55617"/>
    <w:rsid w:val="00A6448C"/>
    <w:rsid w:val="00A72FD6"/>
    <w:rsid w:val="00A94A02"/>
    <w:rsid w:val="00AB4474"/>
    <w:rsid w:val="00AB54BA"/>
    <w:rsid w:val="00AD033F"/>
    <w:rsid w:val="00AD07D0"/>
    <w:rsid w:val="00AE639F"/>
    <w:rsid w:val="00B32E08"/>
    <w:rsid w:val="00B87672"/>
    <w:rsid w:val="00B926D7"/>
    <w:rsid w:val="00C07F8D"/>
    <w:rsid w:val="00C44168"/>
    <w:rsid w:val="00C56AB4"/>
    <w:rsid w:val="00CBB5B4"/>
    <w:rsid w:val="00CC37FD"/>
    <w:rsid w:val="00CE528D"/>
    <w:rsid w:val="00D02456"/>
    <w:rsid w:val="00D127CD"/>
    <w:rsid w:val="00D1399D"/>
    <w:rsid w:val="00D31E6D"/>
    <w:rsid w:val="00D86F73"/>
    <w:rsid w:val="00DA2250"/>
    <w:rsid w:val="00DB73D1"/>
    <w:rsid w:val="00DB7F82"/>
    <w:rsid w:val="00DC65E2"/>
    <w:rsid w:val="00DD4B7C"/>
    <w:rsid w:val="00E02E50"/>
    <w:rsid w:val="00E42938"/>
    <w:rsid w:val="00E50E50"/>
    <w:rsid w:val="00E60A9F"/>
    <w:rsid w:val="00E7677B"/>
    <w:rsid w:val="00EA0B45"/>
    <w:rsid w:val="00EB7D45"/>
    <w:rsid w:val="00ED0996"/>
    <w:rsid w:val="00ED3058"/>
    <w:rsid w:val="00F2765C"/>
    <w:rsid w:val="00F34770"/>
    <w:rsid w:val="00F506FA"/>
    <w:rsid w:val="00F537F7"/>
    <w:rsid w:val="00FC5D53"/>
    <w:rsid w:val="00FC6BE6"/>
    <w:rsid w:val="013DF578"/>
    <w:rsid w:val="014B58A5"/>
    <w:rsid w:val="014B8E83"/>
    <w:rsid w:val="01C2279A"/>
    <w:rsid w:val="01CD4B73"/>
    <w:rsid w:val="01D74422"/>
    <w:rsid w:val="02319012"/>
    <w:rsid w:val="024015D6"/>
    <w:rsid w:val="026E3FFA"/>
    <w:rsid w:val="02D24C9E"/>
    <w:rsid w:val="02F30CE3"/>
    <w:rsid w:val="038EC690"/>
    <w:rsid w:val="039DE41F"/>
    <w:rsid w:val="03B2DB8C"/>
    <w:rsid w:val="03FD88F0"/>
    <w:rsid w:val="042C52AA"/>
    <w:rsid w:val="047587B0"/>
    <w:rsid w:val="0483BAF2"/>
    <w:rsid w:val="04E3A7DD"/>
    <w:rsid w:val="04FCD03A"/>
    <w:rsid w:val="05B9BA3F"/>
    <w:rsid w:val="0609ED60"/>
    <w:rsid w:val="062AADA5"/>
    <w:rsid w:val="0646284F"/>
    <w:rsid w:val="0698A09B"/>
    <w:rsid w:val="06A16726"/>
    <w:rsid w:val="06C99997"/>
    <w:rsid w:val="06E2CF39"/>
    <w:rsid w:val="06F1ACB6"/>
    <w:rsid w:val="075A068E"/>
    <w:rsid w:val="07A5BDC1"/>
    <w:rsid w:val="07A6ECB1"/>
    <w:rsid w:val="07C67E06"/>
    <w:rsid w:val="07CBD547"/>
    <w:rsid w:val="07E1F8B0"/>
    <w:rsid w:val="0844AC98"/>
    <w:rsid w:val="0871389C"/>
    <w:rsid w:val="08A7A7E7"/>
    <w:rsid w:val="08BD1F33"/>
    <w:rsid w:val="08BD60BB"/>
    <w:rsid w:val="08DEC16F"/>
    <w:rsid w:val="08FDEF7C"/>
    <w:rsid w:val="09609488"/>
    <w:rsid w:val="09624E67"/>
    <w:rsid w:val="09773B3D"/>
    <w:rsid w:val="0979297D"/>
    <w:rsid w:val="097DC911"/>
    <w:rsid w:val="099FC80A"/>
    <w:rsid w:val="09B71900"/>
    <w:rsid w:val="09C1ABB1"/>
    <w:rsid w:val="0A0E7D88"/>
    <w:rsid w:val="0A9857F7"/>
    <w:rsid w:val="0AB7CE21"/>
    <w:rsid w:val="0ADAC4D2"/>
    <w:rsid w:val="0AF9911E"/>
    <w:rsid w:val="0B0C0488"/>
    <w:rsid w:val="0B1B79A6"/>
    <w:rsid w:val="0B2B88B7"/>
    <w:rsid w:val="0B3B986B"/>
    <w:rsid w:val="0B52E961"/>
    <w:rsid w:val="0BEAECD6"/>
    <w:rsid w:val="0C26C130"/>
    <w:rsid w:val="0C347D56"/>
    <w:rsid w:val="0C3B1199"/>
    <w:rsid w:val="0C3E608F"/>
    <w:rsid w:val="0C4AD318"/>
    <w:rsid w:val="0CC456A8"/>
    <w:rsid w:val="0CEA800A"/>
    <w:rsid w:val="0CF1278A"/>
    <w:rsid w:val="0CF34F64"/>
    <w:rsid w:val="0CF6A748"/>
    <w:rsid w:val="0D7956D2"/>
    <w:rsid w:val="0DB5A64B"/>
    <w:rsid w:val="0DF418ED"/>
    <w:rsid w:val="0E0F98ED"/>
    <w:rsid w:val="0E29E4F7"/>
    <w:rsid w:val="0E4FBCB4"/>
    <w:rsid w:val="0EB9C4F7"/>
    <w:rsid w:val="0F448ED4"/>
    <w:rsid w:val="0F6C207E"/>
    <w:rsid w:val="0F8CDEAC"/>
    <w:rsid w:val="0FED0A95"/>
    <w:rsid w:val="102580B5"/>
    <w:rsid w:val="10A041E7"/>
    <w:rsid w:val="1108382A"/>
    <w:rsid w:val="111EA096"/>
    <w:rsid w:val="11539594"/>
    <w:rsid w:val="11675CDA"/>
    <w:rsid w:val="1188DAF6"/>
    <w:rsid w:val="11A4BF5A"/>
    <w:rsid w:val="11B35EFC"/>
    <w:rsid w:val="11E7C361"/>
    <w:rsid w:val="11F54F42"/>
    <w:rsid w:val="11F9CB2C"/>
    <w:rsid w:val="1203B675"/>
    <w:rsid w:val="1247D3A4"/>
    <w:rsid w:val="12D7C6E2"/>
    <w:rsid w:val="12DE77B2"/>
    <w:rsid w:val="13161A42"/>
    <w:rsid w:val="135DFB46"/>
    <w:rsid w:val="1375B8DF"/>
    <w:rsid w:val="13B054DB"/>
    <w:rsid w:val="13F09E0C"/>
    <w:rsid w:val="144291ED"/>
    <w:rsid w:val="144B354D"/>
    <w:rsid w:val="148965A1"/>
    <w:rsid w:val="1495EE5A"/>
    <w:rsid w:val="15AC0D31"/>
    <w:rsid w:val="160FB108"/>
    <w:rsid w:val="164EF1A1"/>
    <w:rsid w:val="1653D284"/>
    <w:rsid w:val="166D05A3"/>
    <w:rsid w:val="1672155A"/>
    <w:rsid w:val="167F95CF"/>
    <w:rsid w:val="16959C08"/>
    <w:rsid w:val="16CECD40"/>
    <w:rsid w:val="16FFF9F5"/>
    <w:rsid w:val="17878107"/>
    <w:rsid w:val="17B3D3E3"/>
    <w:rsid w:val="17C452AD"/>
    <w:rsid w:val="17F14178"/>
    <w:rsid w:val="180181A1"/>
    <w:rsid w:val="181B71A1"/>
    <w:rsid w:val="185E2822"/>
    <w:rsid w:val="186AA55B"/>
    <w:rsid w:val="18887473"/>
    <w:rsid w:val="18C2080F"/>
    <w:rsid w:val="18D4061B"/>
    <w:rsid w:val="1906A7AC"/>
    <w:rsid w:val="192C3923"/>
    <w:rsid w:val="19AAE5DD"/>
    <w:rsid w:val="19EECE9C"/>
    <w:rsid w:val="19FDD322"/>
    <w:rsid w:val="1A066E02"/>
    <w:rsid w:val="1A24F62F"/>
    <w:rsid w:val="1A4D3501"/>
    <w:rsid w:val="1A689EE3"/>
    <w:rsid w:val="1A7FCCEB"/>
    <w:rsid w:val="1A8986C3"/>
    <w:rsid w:val="1A96F643"/>
    <w:rsid w:val="1AAED4B8"/>
    <w:rsid w:val="1AD443D1"/>
    <w:rsid w:val="1AF0E216"/>
    <w:rsid w:val="1B399F98"/>
    <w:rsid w:val="1B636746"/>
    <w:rsid w:val="1BE2DD03"/>
    <w:rsid w:val="1C079F91"/>
    <w:rsid w:val="1C3AAB69"/>
    <w:rsid w:val="1C674D5A"/>
    <w:rsid w:val="1CBF2366"/>
    <w:rsid w:val="1D147CF3"/>
    <w:rsid w:val="1D3C252A"/>
    <w:rsid w:val="1D8F5345"/>
    <w:rsid w:val="1DA741C1"/>
    <w:rsid w:val="1DBF8CFE"/>
    <w:rsid w:val="1DE40F8F"/>
    <w:rsid w:val="1DE765A8"/>
    <w:rsid w:val="1DEF49B5"/>
    <w:rsid w:val="1E015753"/>
    <w:rsid w:val="1E029A74"/>
    <w:rsid w:val="1E045217"/>
    <w:rsid w:val="1E8AB325"/>
    <w:rsid w:val="1EAFD8BC"/>
    <w:rsid w:val="1EE8E7A1"/>
    <w:rsid w:val="1F3D44C5"/>
    <w:rsid w:val="1F5B5D5F"/>
    <w:rsid w:val="1F783038"/>
    <w:rsid w:val="1F9D27B4"/>
    <w:rsid w:val="1FCF660D"/>
    <w:rsid w:val="1FEDE75C"/>
    <w:rsid w:val="200F019F"/>
    <w:rsid w:val="2024D349"/>
    <w:rsid w:val="2075AF86"/>
    <w:rsid w:val="20E57D35"/>
    <w:rsid w:val="2128E702"/>
    <w:rsid w:val="214F7C1E"/>
    <w:rsid w:val="2169AF57"/>
    <w:rsid w:val="21C0A3AA"/>
    <w:rsid w:val="21C253E7"/>
    <w:rsid w:val="21DE5716"/>
    <w:rsid w:val="221AED3C"/>
    <w:rsid w:val="2292FE21"/>
    <w:rsid w:val="229AFDCF"/>
    <w:rsid w:val="22D7C33A"/>
    <w:rsid w:val="23144C4C"/>
    <w:rsid w:val="2325B9CA"/>
    <w:rsid w:val="232C5A12"/>
    <w:rsid w:val="23CAF9C8"/>
    <w:rsid w:val="241569B7"/>
    <w:rsid w:val="2431A78D"/>
    <w:rsid w:val="24440CAF"/>
    <w:rsid w:val="245FFAA6"/>
    <w:rsid w:val="24677723"/>
    <w:rsid w:val="24852B34"/>
    <w:rsid w:val="24A58342"/>
    <w:rsid w:val="24B585AF"/>
    <w:rsid w:val="24B9B2A5"/>
    <w:rsid w:val="24DBC182"/>
    <w:rsid w:val="251A0EE5"/>
    <w:rsid w:val="254D6B3F"/>
    <w:rsid w:val="254DA9C4"/>
    <w:rsid w:val="255ACABC"/>
    <w:rsid w:val="25725F80"/>
    <w:rsid w:val="2589E4DB"/>
    <w:rsid w:val="25983061"/>
    <w:rsid w:val="25CBA6E8"/>
    <w:rsid w:val="25E32FC8"/>
    <w:rsid w:val="25EE60E1"/>
    <w:rsid w:val="260F63FC"/>
    <w:rsid w:val="266E04CB"/>
    <w:rsid w:val="26721BBC"/>
    <w:rsid w:val="2730E83A"/>
    <w:rsid w:val="2734DAEA"/>
    <w:rsid w:val="27701532"/>
    <w:rsid w:val="277F0029"/>
    <w:rsid w:val="278AF00A"/>
    <w:rsid w:val="27B39122"/>
    <w:rsid w:val="27B580C1"/>
    <w:rsid w:val="282F8C85"/>
    <w:rsid w:val="2847DE9B"/>
    <w:rsid w:val="28751635"/>
    <w:rsid w:val="287BE0E9"/>
    <w:rsid w:val="288C64A2"/>
    <w:rsid w:val="291AD08A"/>
    <w:rsid w:val="29442062"/>
    <w:rsid w:val="298C502E"/>
    <w:rsid w:val="29C24F8B"/>
    <w:rsid w:val="29DDB75B"/>
    <w:rsid w:val="29E254A1"/>
    <w:rsid w:val="29E94FB5"/>
    <w:rsid w:val="29EB3AFC"/>
    <w:rsid w:val="2A0D33FA"/>
    <w:rsid w:val="2A24C8A4"/>
    <w:rsid w:val="2A315061"/>
    <w:rsid w:val="2A5B0CCB"/>
    <w:rsid w:val="2A696DC9"/>
    <w:rsid w:val="2A724A7F"/>
    <w:rsid w:val="2AAF2B40"/>
    <w:rsid w:val="2AB6A0EB"/>
    <w:rsid w:val="2B8C8102"/>
    <w:rsid w:val="2BCF0F33"/>
    <w:rsid w:val="2C2C2AA4"/>
    <w:rsid w:val="2C3F2FE2"/>
    <w:rsid w:val="2C4D61AE"/>
    <w:rsid w:val="2C509CFB"/>
    <w:rsid w:val="2C547061"/>
    <w:rsid w:val="2C60CBB5"/>
    <w:rsid w:val="2C61B911"/>
    <w:rsid w:val="2CB288D6"/>
    <w:rsid w:val="2D20F077"/>
    <w:rsid w:val="2D5C2014"/>
    <w:rsid w:val="2E4E5937"/>
    <w:rsid w:val="2E4F1268"/>
    <w:rsid w:val="2EB8C41F"/>
    <w:rsid w:val="2F218AD4"/>
    <w:rsid w:val="2F67C90A"/>
    <w:rsid w:val="2F82DBD6"/>
    <w:rsid w:val="2F8A120E"/>
    <w:rsid w:val="2F8DE6DF"/>
    <w:rsid w:val="2F9959D3"/>
    <w:rsid w:val="2FEAE2C9"/>
    <w:rsid w:val="300FF3C0"/>
    <w:rsid w:val="302498DA"/>
    <w:rsid w:val="304D959B"/>
    <w:rsid w:val="305B45CD"/>
    <w:rsid w:val="3067E5BF"/>
    <w:rsid w:val="3093C0D6"/>
    <w:rsid w:val="30D9EE4E"/>
    <w:rsid w:val="31110918"/>
    <w:rsid w:val="31352A34"/>
    <w:rsid w:val="316D6638"/>
    <w:rsid w:val="31BBDCD4"/>
    <w:rsid w:val="31D836F7"/>
    <w:rsid w:val="31D9C3CD"/>
    <w:rsid w:val="322F9137"/>
    <w:rsid w:val="327FBA4E"/>
    <w:rsid w:val="32B31247"/>
    <w:rsid w:val="32C1B2D0"/>
    <w:rsid w:val="32E58272"/>
    <w:rsid w:val="32FB887B"/>
    <w:rsid w:val="333575FE"/>
    <w:rsid w:val="336B7144"/>
    <w:rsid w:val="337CF166"/>
    <w:rsid w:val="338C0519"/>
    <w:rsid w:val="3390854B"/>
    <w:rsid w:val="33C4E831"/>
    <w:rsid w:val="33EC0DFA"/>
    <w:rsid w:val="33FCBB02"/>
    <w:rsid w:val="341AA70C"/>
    <w:rsid w:val="3439AF25"/>
    <w:rsid w:val="346CCAF6"/>
    <w:rsid w:val="348643E6"/>
    <w:rsid w:val="348EA400"/>
    <w:rsid w:val="34B12283"/>
    <w:rsid w:val="354E3A2F"/>
    <w:rsid w:val="3567AA22"/>
    <w:rsid w:val="35880620"/>
    <w:rsid w:val="35BF7DA7"/>
    <w:rsid w:val="35FB07EC"/>
    <w:rsid w:val="36329ECF"/>
    <w:rsid w:val="36F55240"/>
    <w:rsid w:val="3782303F"/>
    <w:rsid w:val="378A6447"/>
    <w:rsid w:val="3796D84D"/>
    <w:rsid w:val="37D5C27D"/>
    <w:rsid w:val="37ED1CD7"/>
    <w:rsid w:val="38898F1F"/>
    <w:rsid w:val="38B247C4"/>
    <w:rsid w:val="38CAA7C3"/>
    <w:rsid w:val="3916DFC0"/>
    <w:rsid w:val="391A08E0"/>
    <w:rsid w:val="3965E226"/>
    <w:rsid w:val="399CE545"/>
    <w:rsid w:val="39D67854"/>
    <w:rsid w:val="3A114C17"/>
    <w:rsid w:val="3A335EE0"/>
    <w:rsid w:val="3A6D9F36"/>
    <w:rsid w:val="3A881C02"/>
    <w:rsid w:val="3A88D5E6"/>
    <w:rsid w:val="3AA4D140"/>
    <w:rsid w:val="3ABEA0EF"/>
    <w:rsid w:val="3AC0616F"/>
    <w:rsid w:val="3ADA445E"/>
    <w:rsid w:val="3B4F4256"/>
    <w:rsid w:val="3B63EAE0"/>
    <w:rsid w:val="3B7C313C"/>
    <w:rsid w:val="3BEDBD34"/>
    <w:rsid w:val="3C5A7150"/>
    <w:rsid w:val="3C77DCDB"/>
    <w:rsid w:val="3CB52CF8"/>
    <w:rsid w:val="3CCB263A"/>
    <w:rsid w:val="3CD33621"/>
    <w:rsid w:val="3CF1C43E"/>
    <w:rsid w:val="3D98B96B"/>
    <w:rsid w:val="3E20D176"/>
    <w:rsid w:val="3E5F62C1"/>
    <w:rsid w:val="3E8D924B"/>
    <w:rsid w:val="3EACC76F"/>
    <w:rsid w:val="3F18DE28"/>
    <w:rsid w:val="3F19B776"/>
    <w:rsid w:val="3F7D7624"/>
    <w:rsid w:val="3F85DA5A"/>
    <w:rsid w:val="3F91954F"/>
    <w:rsid w:val="3FB5FF50"/>
    <w:rsid w:val="400894CD"/>
    <w:rsid w:val="402F9972"/>
    <w:rsid w:val="40A798B2"/>
    <w:rsid w:val="40B6514D"/>
    <w:rsid w:val="40C8E14C"/>
    <w:rsid w:val="40FF0CF9"/>
    <w:rsid w:val="411D1194"/>
    <w:rsid w:val="4152D739"/>
    <w:rsid w:val="41601CA6"/>
    <w:rsid w:val="41C92C09"/>
    <w:rsid w:val="426C2F4B"/>
    <w:rsid w:val="42E419B5"/>
    <w:rsid w:val="42E71E5F"/>
    <w:rsid w:val="42FB92A2"/>
    <w:rsid w:val="43002F82"/>
    <w:rsid w:val="437E4A24"/>
    <w:rsid w:val="439292A3"/>
    <w:rsid w:val="43EBB41D"/>
    <w:rsid w:val="4409554F"/>
    <w:rsid w:val="441AE9A2"/>
    <w:rsid w:val="4481532D"/>
    <w:rsid w:val="449C6136"/>
    <w:rsid w:val="44A49693"/>
    <w:rsid w:val="44CD725B"/>
    <w:rsid w:val="44D3F10F"/>
    <w:rsid w:val="44E9E15E"/>
    <w:rsid w:val="45140547"/>
    <w:rsid w:val="4552F3A7"/>
    <w:rsid w:val="4575625A"/>
    <w:rsid w:val="4594E98E"/>
    <w:rsid w:val="45F7F41A"/>
    <w:rsid w:val="46041B7F"/>
    <w:rsid w:val="461F127E"/>
    <w:rsid w:val="46D96E93"/>
    <w:rsid w:val="476F99EE"/>
    <w:rsid w:val="4783A7F8"/>
    <w:rsid w:val="478D7AE4"/>
    <w:rsid w:val="47B4D0A8"/>
    <w:rsid w:val="47F3ADE9"/>
    <w:rsid w:val="48113E32"/>
    <w:rsid w:val="48753EF4"/>
    <w:rsid w:val="49064BC3"/>
    <w:rsid w:val="491B59D2"/>
    <w:rsid w:val="49388A47"/>
    <w:rsid w:val="493FB26B"/>
    <w:rsid w:val="4940651B"/>
    <w:rsid w:val="49A6B663"/>
    <w:rsid w:val="49E4E088"/>
    <w:rsid w:val="4A110F55"/>
    <w:rsid w:val="4A628E20"/>
    <w:rsid w:val="4AB3834D"/>
    <w:rsid w:val="4ABFE085"/>
    <w:rsid w:val="4AC4E226"/>
    <w:rsid w:val="4AC61453"/>
    <w:rsid w:val="4ACB7128"/>
    <w:rsid w:val="4ADC357C"/>
    <w:rsid w:val="4B16FB30"/>
    <w:rsid w:val="4B1CC67F"/>
    <w:rsid w:val="4B24BD6C"/>
    <w:rsid w:val="4B5ECD96"/>
    <w:rsid w:val="4BABFE04"/>
    <w:rsid w:val="4BAC461D"/>
    <w:rsid w:val="4BB118CC"/>
    <w:rsid w:val="4BE47BEE"/>
    <w:rsid w:val="4C03B27C"/>
    <w:rsid w:val="4C0486A2"/>
    <w:rsid w:val="4C08D7D2"/>
    <w:rsid w:val="4C513B25"/>
    <w:rsid w:val="4C78F74F"/>
    <w:rsid w:val="4C8F0554"/>
    <w:rsid w:val="4CA7E366"/>
    <w:rsid w:val="4CABABF1"/>
    <w:rsid w:val="4CBF06E6"/>
    <w:rsid w:val="4CED09A1"/>
    <w:rsid w:val="4CEEBFAB"/>
    <w:rsid w:val="4D602DDF"/>
    <w:rsid w:val="4DB27D09"/>
    <w:rsid w:val="4E13D63E"/>
    <w:rsid w:val="4E1F0022"/>
    <w:rsid w:val="4E242B21"/>
    <w:rsid w:val="4E518D4A"/>
    <w:rsid w:val="4EE48078"/>
    <w:rsid w:val="4F046B9C"/>
    <w:rsid w:val="4F0C5922"/>
    <w:rsid w:val="4F1CA730"/>
    <w:rsid w:val="4F54782D"/>
    <w:rsid w:val="4FA648CF"/>
    <w:rsid w:val="4FB16F84"/>
    <w:rsid w:val="4FB1FCB8"/>
    <w:rsid w:val="4FD69AFB"/>
    <w:rsid w:val="50065DCA"/>
    <w:rsid w:val="501B0C5E"/>
    <w:rsid w:val="5026606D"/>
    <w:rsid w:val="507A7698"/>
    <w:rsid w:val="50A00D33"/>
    <w:rsid w:val="50C66ECD"/>
    <w:rsid w:val="50C73B4C"/>
    <w:rsid w:val="51264433"/>
    <w:rsid w:val="514B7700"/>
    <w:rsid w:val="5151F8EF"/>
    <w:rsid w:val="516DBD14"/>
    <w:rsid w:val="5182E2DA"/>
    <w:rsid w:val="51835CE3"/>
    <w:rsid w:val="51839B98"/>
    <w:rsid w:val="5197C302"/>
    <w:rsid w:val="519DB96F"/>
    <w:rsid w:val="51A1110C"/>
    <w:rsid w:val="51AE7EE4"/>
    <w:rsid w:val="51C3E1D7"/>
    <w:rsid w:val="51CE1968"/>
    <w:rsid w:val="520E9F5F"/>
    <w:rsid w:val="521AC781"/>
    <w:rsid w:val="52C3EAC4"/>
    <w:rsid w:val="52DC3120"/>
    <w:rsid w:val="52E74761"/>
    <w:rsid w:val="53256CAF"/>
    <w:rsid w:val="5369E9C9"/>
    <w:rsid w:val="5430F3EF"/>
    <w:rsid w:val="543B29BB"/>
    <w:rsid w:val="54713510"/>
    <w:rsid w:val="548961D2"/>
    <w:rsid w:val="54D1293C"/>
    <w:rsid w:val="54D29E1E"/>
    <w:rsid w:val="54E1A58E"/>
    <w:rsid w:val="54FF3880"/>
    <w:rsid w:val="550D27C2"/>
    <w:rsid w:val="553B0804"/>
    <w:rsid w:val="5548A150"/>
    <w:rsid w:val="5587FB1F"/>
    <w:rsid w:val="55C4AF67"/>
    <w:rsid w:val="55C699A8"/>
    <w:rsid w:val="55F79D5D"/>
    <w:rsid w:val="55FB8B86"/>
    <w:rsid w:val="5613D1E2"/>
    <w:rsid w:val="56956488"/>
    <w:rsid w:val="569E4EED"/>
    <w:rsid w:val="56A18A8B"/>
    <w:rsid w:val="56AC6F1C"/>
    <w:rsid w:val="57154046"/>
    <w:rsid w:val="5719B2A3"/>
    <w:rsid w:val="572DD1B0"/>
    <w:rsid w:val="576894B1"/>
    <w:rsid w:val="57847115"/>
    <w:rsid w:val="578883F3"/>
    <w:rsid w:val="58B33B68"/>
    <w:rsid w:val="59240D9C"/>
    <w:rsid w:val="596F4A7B"/>
    <w:rsid w:val="597272CE"/>
    <w:rsid w:val="59908F19"/>
    <w:rsid w:val="59A7FE24"/>
    <w:rsid w:val="59CD054A"/>
    <w:rsid w:val="59EC0280"/>
    <w:rsid w:val="59F251A4"/>
    <w:rsid w:val="5A115436"/>
    <w:rsid w:val="5A1D7B00"/>
    <w:rsid w:val="5A32C9F1"/>
    <w:rsid w:val="5A3461CA"/>
    <w:rsid w:val="5AE45ACD"/>
    <w:rsid w:val="5B49D2D1"/>
    <w:rsid w:val="5B556A59"/>
    <w:rsid w:val="5B644A6E"/>
    <w:rsid w:val="5B64B266"/>
    <w:rsid w:val="5BA713A9"/>
    <w:rsid w:val="5BB94B61"/>
    <w:rsid w:val="5BEA12C8"/>
    <w:rsid w:val="5C1C6FD1"/>
    <w:rsid w:val="5C2D3F1D"/>
    <w:rsid w:val="5C5E33C1"/>
    <w:rsid w:val="5C74052B"/>
    <w:rsid w:val="5C838E80"/>
    <w:rsid w:val="5C9D9E16"/>
    <w:rsid w:val="5CF13ABA"/>
    <w:rsid w:val="5D357A83"/>
    <w:rsid w:val="5D40C672"/>
    <w:rsid w:val="5D6155CC"/>
    <w:rsid w:val="5D66D37F"/>
    <w:rsid w:val="5D68C43D"/>
    <w:rsid w:val="5DBFA3A6"/>
    <w:rsid w:val="5E3F3CF7"/>
    <w:rsid w:val="5E436716"/>
    <w:rsid w:val="5E5B8645"/>
    <w:rsid w:val="5E8ABD8C"/>
    <w:rsid w:val="5E91E067"/>
    <w:rsid w:val="5EA466AA"/>
    <w:rsid w:val="5EBC91EB"/>
    <w:rsid w:val="5ECE1FBE"/>
    <w:rsid w:val="5F133527"/>
    <w:rsid w:val="5F371C5F"/>
    <w:rsid w:val="5F5DB67D"/>
    <w:rsid w:val="5FEDAFEA"/>
    <w:rsid w:val="5FF079C3"/>
    <w:rsid w:val="600E9488"/>
    <w:rsid w:val="6018EFFC"/>
    <w:rsid w:val="6063E77B"/>
    <w:rsid w:val="608DC962"/>
    <w:rsid w:val="6091FDCD"/>
    <w:rsid w:val="60C02AC6"/>
    <w:rsid w:val="60C36909"/>
    <w:rsid w:val="60D073D1"/>
    <w:rsid w:val="61149A32"/>
    <w:rsid w:val="61908991"/>
    <w:rsid w:val="61CA9EFB"/>
    <w:rsid w:val="61D8629F"/>
    <w:rsid w:val="6231BCB2"/>
    <w:rsid w:val="625F396A"/>
    <w:rsid w:val="62A81E44"/>
    <w:rsid w:val="62E13928"/>
    <w:rsid w:val="63858AFA"/>
    <w:rsid w:val="63C083DA"/>
    <w:rsid w:val="6415F9F6"/>
    <w:rsid w:val="6417C719"/>
    <w:rsid w:val="6419465D"/>
    <w:rsid w:val="64302C8D"/>
    <w:rsid w:val="648B77A5"/>
    <w:rsid w:val="64ADDA0B"/>
    <w:rsid w:val="64EB4280"/>
    <w:rsid w:val="650BCDB4"/>
    <w:rsid w:val="652C0A28"/>
    <w:rsid w:val="657AFFC2"/>
    <w:rsid w:val="658FA011"/>
    <w:rsid w:val="65A9DA16"/>
    <w:rsid w:val="65E2C187"/>
    <w:rsid w:val="65EFF48C"/>
    <w:rsid w:val="65F00F92"/>
    <w:rsid w:val="662B10CA"/>
    <w:rsid w:val="663404D1"/>
    <w:rsid w:val="66357777"/>
    <w:rsid w:val="66839452"/>
    <w:rsid w:val="66B6A84C"/>
    <w:rsid w:val="6714D8C6"/>
    <w:rsid w:val="6745AA77"/>
    <w:rsid w:val="676CF0DB"/>
    <w:rsid w:val="677C01B9"/>
    <w:rsid w:val="678B0061"/>
    <w:rsid w:val="67A8515E"/>
    <w:rsid w:val="67B0502B"/>
    <w:rsid w:val="6861BC73"/>
    <w:rsid w:val="68BBCBC7"/>
    <w:rsid w:val="68C95F32"/>
    <w:rsid w:val="69584F50"/>
    <w:rsid w:val="69AAF12C"/>
    <w:rsid w:val="69CEA715"/>
    <w:rsid w:val="69E964E6"/>
    <w:rsid w:val="6A165972"/>
    <w:rsid w:val="6A1B834B"/>
    <w:rsid w:val="6A401AC0"/>
    <w:rsid w:val="6A42530D"/>
    <w:rsid w:val="6ABE46C3"/>
    <w:rsid w:val="6AD3F6BD"/>
    <w:rsid w:val="6B02E1AE"/>
    <w:rsid w:val="6B2DE720"/>
    <w:rsid w:val="6B5D6404"/>
    <w:rsid w:val="6B6CFEF4"/>
    <w:rsid w:val="6BAA8B4B"/>
    <w:rsid w:val="6C44F9C9"/>
    <w:rsid w:val="6C653598"/>
    <w:rsid w:val="6CA595A2"/>
    <w:rsid w:val="6CCBC96A"/>
    <w:rsid w:val="6D2BBD75"/>
    <w:rsid w:val="6D4E777E"/>
    <w:rsid w:val="6D5CFE15"/>
    <w:rsid w:val="6D84816E"/>
    <w:rsid w:val="6D9884ED"/>
    <w:rsid w:val="6DF1B620"/>
    <w:rsid w:val="6E405E12"/>
    <w:rsid w:val="6E43ABD9"/>
    <w:rsid w:val="6E6BEE51"/>
    <w:rsid w:val="6E7B2EFD"/>
    <w:rsid w:val="6E9B40BC"/>
    <w:rsid w:val="6EA84E90"/>
    <w:rsid w:val="6EAB8316"/>
    <w:rsid w:val="6EC12777"/>
    <w:rsid w:val="6EF76837"/>
    <w:rsid w:val="6F0535F5"/>
    <w:rsid w:val="6F4A9D9B"/>
    <w:rsid w:val="6F500303"/>
    <w:rsid w:val="6F78FB1B"/>
    <w:rsid w:val="6F7C9A8B"/>
    <w:rsid w:val="6F8CF238"/>
    <w:rsid w:val="6FB8D57A"/>
    <w:rsid w:val="6FE187D6"/>
    <w:rsid w:val="6FE70304"/>
    <w:rsid w:val="6FEDE23B"/>
    <w:rsid w:val="7000B750"/>
    <w:rsid w:val="707BA554"/>
    <w:rsid w:val="7093F888"/>
    <w:rsid w:val="70BC324D"/>
    <w:rsid w:val="70E70006"/>
    <w:rsid w:val="70F5498A"/>
    <w:rsid w:val="710BA973"/>
    <w:rsid w:val="71389448"/>
    <w:rsid w:val="7169D87D"/>
    <w:rsid w:val="7190D8F1"/>
    <w:rsid w:val="7195E350"/>
    <w:rsid w:val="71AF97C2"/>
    <w:rsid w:val="71CBFAB9"/>
    <w:rsid w:val="722A7FD9"/>
    <w:rsid w:val="7260C121"/>
    <w:rsid w:val="72688CDA"/>
    <w:rsid w:val="72ABEE03"/>
    <w:rsid w:val="72F573CC"/>
    <w:rsid w:val="72FAE6CB"/>
    <w:rsid w:val="734EA020"/>
    <w:rsid w:val="7371B03A"/>
    <w:rsid w:val="73D5C0DF"/>
    <w:rsid w:val="743F07EC"/>
    <w:rsid w:val="7456CCE5"/>
    <w:rsid w:val="74794DB5"/>
    <w:rsid w:val="748E9CF3"/>
    <w:rsid w:val="75460729"/>
    <w:rsid w:val="754A933A"/>
    <w:rsid w:val="75577EA3"/>
    <w:rsid w:val="75686369"/>
    <w:rsid w:val="7571EB76"/>
    <w:rsid w:val="758B9AA6"/>
    <w:rsid w:val="75C5B36D"/>
    <w:rsid w:val="75EC2B6D"/>
    <w:rsid w:val="763365D5"/>
    <w:rsid w:val="76479EA8"/>
    <w:rsid w:val="7658323C"/>
    <w:rsid w:val="765DAB5D"/>
    <w:rsid w:val="76806D59"/>
    <w:rsid w:val="768640E2"/>
    <w:rsid w:val="76B41077"/>
    <w:rsid w:val="76C7DB3F"/>
    <w:rsid w:val="76F1C80C"/>
    <w:rsid w:val="771635EC"/>
    <w:rsid w:val="7722EB20"/>
    <w:rsid w:val="773C9B08"/>
    <w:rsid w:val="7753F439"/>
    <w:rsid w:val="775C0A9E"/>
    <w:rsid w:val="7773F2E2"/>
    <w:rsid w:val="777A3723"/>
    <w:rsid w:val="77B47778"/>
    <w:rsid w:val="77C3E75F"/>
    <w:rsid w:val="77DEF86D"/>
    <w:rsid w:val="78014314"/>
    <w:rsid w:val="78B8A5E5"/>
    <w:rsid w:val="78BEBB81"/>
    <w:rsid w:val="79404202"/>
    <w:rsid w:val="7954DC3E"/>
    <w:rsid w:val="79872F3D"/>
    <w:rsid w:val="79A0F535"/>
    <w:rsid w:val="79B5FCFE"/>
    <w:rsid w:val="79BBA7B1"/>
    <w:rsid w:val="79D508F7"/>
    <w:rsid w:val="79EBB139"/>
    <w:rsid w:val="79F0533B"/>
    <w:rsid w:val="79F27E2B"/>
    <w:rsid w:val="7AB048B5"/>
    <w:rsid w:val="7AC91DA7"/>
    <w:rsid w:val="7ADF051D"/>
    <w:rsid w:val="7B085DE1"/>
    <w:rsid w:val="7B3CC596"/>
    <w:rsid w:val="7B623042"/>
    <w:rsid w:val="7BC8BA04"/>
    <w:rsid w:val="7BE68127"/>
    <w:rsid w:val="7BF28D1E"/>
    <w:rsid w:val="7C123FCD"/>
    <w:rsid w:val="7C77E2C4"/>
    <w:rsid w:val="7CA1EF3C"/>
    <w:rsid w:val="7CB53736"/>
    <w:rsid w:val="7CEFEE81"/>
    <w:rsid w:val="7CFC271F"/>
    <w:rsid w:val="7D2965BC"/>
    <w:rsid w:val="7D5F7B68"/>
    <w:rsid w:val="7DCA6B01"/>
    <w:rsid w:val="7DE17B6B"/>
    <w:rsid w:val="7E34201E"/>
    <w:rsid w:val="7E499C95"/>
    <w:rsid w:val="7E86A452"/>
    <w:rsid w:val="7EFB4BC9"/>
    <w:rsid w:val="7F280564"/>
    <w:rsid w:val="7F561718"/>
    <w:rsid w:val="7FA32FDE"/>
    <w:rsid w:val="7FAF8386"/>
    <w:rsid w:val="7FC1F6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40C51"/>
  <w15:docId w15:val="{63B7A335-8762-45EF-9345-3721BE290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after="100" w:afterAutospacing="1" w:line="256" w:lineRule="auto"/>
    </w:pPr>
    <w:rPr>
      <w:rFonts w:eastAsia="Times New Roman"/>
      <w:sz w:val="24"/>
      <w:szCs w:val="24"/>
      <w:lang w:val="ro-RO" w:eastAsia="ro-RO"/>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F58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F587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5">
    <w:name w:val="15"/>
    <w:rPr>
      <w:rFonts w:ascii="Calibri" w:hAnsi="Calibri" w:cs="Calibri" w:hint="default"/>
    </w:rPr>
  </w:style>
  <w:style w:type="character" w:customStyle="1" w:styleId="BodytextBold">
    <w:name w:val="Body text + Bold"/>
    <w:uiPriority w:val="99"/>
    <w:rPr>
      <w:rFonts w:ascii="Arial" w:hAnsi="Arial" w:cs="Arial"/>
      <w:b/>
      <w:bCs/>
      <w:spacing w:val="0"/>
      <w:sz w:val="18"/>
      <w:szCs w:val="18"/>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A72FD6"/>
    <w:rPr>
      <w:sz w:val="16"/>
      <w:szCs w:val="16"/>
    </w:rPr>
  </w:style>
  <w:style w:type="paragraph" w:styleId="CommentText">
    <w:name w:val="annotation text"/>
    <w:basedOn w:val="Normal"/>
    <w:link w:val="CommentTextChar"/>
    <w:uiPriority w:val="99"/>
    <w:semiHidden/>
    <w:unhideWhenUsed/>
    <w:rsid w:val="00A72FD6"/>
    <w:pPr>
      <w:spacing w:line="240" w:lineRule="auto"/>
    </w:pPr>
    <w:rPr>
      <w:sz w:val="20"/>
      <w:szCs w:val="20"/>
    </w:rPr>
  </w:style>
  <w:style w:type="character" w:customStyle="1" w:styleId="CommentTextChar">
    <w:name w:val="Comment Text Char"/>
    <w:basedOn w:val="DefaultParagraphFont"/>
    <w:link w:val="CommentText"/>
    <w:uiPriority w:val="99"/>
    <w:semiHidden/>
    <w:rsid w:val="00A72FD6"/>
    <w:rPr>
      <w:rFonts w:eastAsia="Times New Roman"/>
      <w:lang w:val="ro-RO" w:eastAsia="ro-RO"/>
    </w:rPr>
  </w:style>
  <w:style w:type="paragraph" w:styleId="CommentSubject">
    <w:name w:val="annotation subject"/>
    <w:basedOn w:val="CommentText"/>
    <w:next w:val="CommentText"/>
    <w:link w:val="CommentSubjectChar"/>
    <w:uiPriority w:val="99"/>
    <w:semiHidden/>
    <w:unhideWhenUsed/>
    <w:rsid w:val="00A72FD6"/>
    <w:rPr>
      <w:b/>
      <w:bCs/>
    </w:rPr>
  </w:style>
  <w:style w:type="character" w:customStyle="1" w:styleId="CommentSubjectChar">
    <w:name w:val="Comment Subject Char"/>
    <w:basedOn w:val="CommentTextChar"/>
    <w:link w:val="CommentSubject"/>
    <w:uiPriority w:val="99"/>
    <w:semiHidden/>
    <w:rsid w:val="00A72FD6"/>
    <w:rPr>
      <w:rFonts w:eastAsia="Times New Roman"/>
      <w:b/>
      <w:bCs/>
      <w:lang w:val="ro-RO" w:eastAsia="ro-RO"/>
    </w:rPr>
  </w:style>
  <w:style w:type="paragraph" w:styleId="BalloonText">
    <w:name w:val="Balloon Text"/>
    <w:basedOn w:val="Normal"/>
    <w:link w:val="BalloonTextChar"/>
    <w:uiPriority w:val="99"/>
    <w:semiHidden/>
    <w:unhideWhenUsed/>
    <w:rsid w:val="00A72FD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FD6"/>
    <w:rPr>
      <w:rFonts w:ascii="Tahoma" w:eastAsia="Times New Roman" w:hAnsi="Tahoma" w:cs="Tahoma"/>
      <w:sz w:val="16"/>
      <w:szCs w:val="16"/>
      <w:lang w:val="ro-RO" w:eastAsia="ro-RO"/>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906456"/>
    <w:rPr>
      <w:rFonts w:eastAsia="Times New Roman"/>
      <w:sz w:val="24"/>
      <w:szCs w:val="24"/>
      <w:lang w:val="ro-RO" w:eastAsia="ro-RO"/>
    </w:rPr>
  </w:style>
  <w:style w:type="paragraph" w:styleId="Header">
    <w:name w:val="header"/>
    <w:basedOn w:val="Normal"/>
    <w:link w:val="HeaderChar"/>
    <w:uiPriority w:val="99"/>
    <w:unhideWhenUsed/>
    <w:rsid w:val="00E7677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7677B"/>
    <w:rPr>
      <w:rFonts w:eastAsia="Times New Roman"/>
      <w:sz w:val="24"/>
      <w:szCs w:val="24"/>
      <w:lang w:val="ro-RO" w:eastAsia="ro-RO"/>
    </w:rPr>
  </w:style>
  <w:style w:type="paragraph" w:styleId="Footer">
    <w:name w:val="footer"/>
    <w:basedOn w:val="Normal"/>
    <w:link w:val="FooterChar"/>
    <w:uiPriority w:val="99"/>
    <w:unhideWhenUsed/>
    <w:rsid w:val="00E7677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7677B"/>
    <w:rPr>
      <w:rFonts w:eastAsia="Times New Roman"/>
      <w:sz w:val="24"/>
      <w:szCs w:val="24"/>
      <w:lang w:val="ro-RO" w:eastAsia="ro-RO"/>
    </w:rPr>
  </w:style>
  <w:style w:type="character" w:customStyle="1" w:styleId="Heading2Char">
    <w:name w:val="Heading 2 Char"/>
    <w:basedOn w:val="DefaultParagraphFont"/>
    <w:link w:val="Heading2"/>
    <w:uiPriority w:val="9"/>
    <w:semiHidden/>
    <w:rsid w:val="003F587C"/>
    <w:rPr>
      <w:rFonts w:asciiTheme="majorHAnsi" w:eastAsiaTheme="majorEastAsia" w:hAnsiTheme="majorHAnsi" w:cstheme="majorBidi"/>
      <w:color w:val="2F5496" w:themeColor="accent1" w:themeShade="BF"/>
      <w:sz w:val="26"/>
      <w:szCs w:val="26"/>
      <w:lang w:val="ro-RO" w:eastAsia="ro-RO"/>
    </w:rPr>
  </w:style>
  <w:style w:type="character" w:customStyle="1" w:styleId="Heading3Char">
    <w:name w:val="Heading 3 Char"/>
    <w:basedOn w:val="DefaultParagraphFont"/>
    <w:link w:val="Heading3"/>
    <w:uiPriority w:val="9"/>
    <w:semiHidden/>
    <w:rsid w:val="003F587C"/>
    <w:rPr>
      <w:rFonts w:asciiTheme="majorHAnsi" w:eastAsiaTheme="majorEastAsia" w:hAnsiTheme="majorHAnsi" w:cstheme="majorBidi"/>
      <w:color w:val="1F3763" w:themeColor="accent1" w:themeShade="7F"/>
      <w:sz w:val="24"/>
      <w:szCs w:val="24"/>
      <w:lang w:val="ro-RO" w:eastAsia="ro-RO"/>
    </w:rPr>
  </w:style>
  <w:style w:type="paragraph" w:customStyle="1" w:styleId="paragraph">
    <w:name w:val="paragraph"/>
    <w:basedOn w:val="Normal"/>
    <w:rsid w:val="007C121D"/>
    <w:pPr>
      <w:spacing w:line="240" w:lineRule="auto"/>
    </w:pPr>
    <w:rPr>
      <w:lang w:eastAsia="en-US"/>
    </w:rPr>
  </w:style>
  <w:style w:type="character" w:customStyle="1" w:styleId="normaltextrun">
    <w:name w:val="normaltextrun"/>
    <w:basedOn w:val="DefaultParagraphFont"/>
    <w:rsid w:val="007C121D"/>
  </w:style>
  <w:style w:type="character" w:customStyle="1" w:styleId="eop">
    <w:name w:val="eop"/>
    <w:basedOn w:val="DefaultParagraphFont"/>
    <w:rsid w:val="007C121D"/>
  </w:style>
  <w:style w:type="paragraph" w:customStyle="1" w:styleId="9refbody">
    <w:name w:val="9refbody"/>
    <w:basedOn w:val="Normal"/>
    <w:rsid w:val="003546DD"/>
    <w:pPr>
      <w:spacing w:before="240" w:beforeAutospacing="0" w:after="240" w:afterAutospacing="0" w:line="240" w:lineRule="auto"/>
    </w:pPr>
    <w:rPr>
      <w:lang w:val="en-US" w:eastAsia="en-US"/>
    </w:rPr>
  </w:style>
  <w:style w:type="paragraph" w:styleId="NormalWeb">
    <w:name w:val="Normal (Web)"/>
    <w:basedOn w:val="Normal"/>
    <w:uiPriority w:val="99"/>
    <w:unhideWhenUsed/>
    <w:rsid w:val="00FC5D53"/>
    <w:pPr>
      <w:spacing w:line="240" w:lineRule="auto"/>
    </w:pPr>
    <w:rPr>
      <w:lang w:val="en-RO" w:eastAsia="en-US"/>
    </w:rPr>
  </w:style>
  <w:style w:type="character" w:styleId="UnresolvedMention">
    <w:name w:val="Unresolved Mention"/>
    <w:basedOn w:val="DefaultParagraphFont"/>
    <w:uiPriority w:val="99"/>
    <w:semiHidden/>
    <w:unhideWhenUsed/>
    <w:rsid w:val="00FC5D53"/>
    <w:rPr>
      <w:color w:val="605E5C"/>
      <w:shd w:val="clear" w:color="auto" w:fill="E1DFDD"/>
    </w:rPr>
  </w:style>
  <w:style w:type="character" w:customStyle="1" w:styleId="apple-converted-space">
    <w:name w:val="apple-converted-space"/>
    <w:basedOn w:val="DefaultParagraphFont"/>
    <w:rsid w:val="00FC5D53"/>
  </w:style>
  <w:style w:type="character" w:styleId="Emphasis">
    <w:name w:val="Emphasis"/>
    <w:basedOn w:val="DefaultParagraphFont"/>
    <w:uiPriority w:val="20"/>
    <w:qFormat/>
    <w:rsid w:val="00FC5D53"/>
    <w:rPr>
      <w:i/>
      <w:iCs/>
    </w:rPr>
  </w:style>
  <w:style w:type="character" w:styleId="FollowedHyperlink">
    <w:name w:val="FollowedHyperlink"/>
    <w:basedOn w:val="DefaultParagraphFont"/>
    <w:uiPriority w:val="99"/>
    <w:semiHidden/>
    <w:unhideWhenUsed/>
    <w:rsid w:val="004075FA"/>
    <w:rPr>
      <w:color w:val="954F72" w:themeColor="followedHyperlink"/>
      <w:u w:val="single"/>
    </w:rPr>
  </w:style>
  <w:style w:type="character" w:styleId="Strong">
    <w:name w:val="Strong"/>
    <w:basedOn w:val="DefaultParagraphFont"/>
    <w:uiPriority w:val="22"/>
    <w:qFormat/>
    <w:rsid w:val="004075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26701">
      <w:bodyDiv w:val="1"/>
      <w:marLeft w:val="0"/>
      <w:marRight w:val="0"/>
      <w:marTop w:val="0"/>
      <w:marBottom w:val="0"/>
      <w:divBdr>
        <w:top w:val="none" w:sz="0" w:space="0" w:color="auto"/>
        <w:left w:val="none" w:sz="0" w:space="0" w:color="auto"/>
        <w:bottom w:val="none" w:sz="0" w:space="0" w:color="auto"/>
        <w:right w:val="none" w:sz="0" w:space="0" w:color="auto"/>
      </w:divBdr>
    </w:div>
    <w:div w:id="222645580">
      <w:bodyDiv w:val="1"/>
      <w:marLeft w:val="0"/>
      <w:marRight w:val="0"/>
      <w:marTop w:val="0"/>
      <w:marBottom w:val="0"/>
      <w:divBdr>
        <w:top w:val="none" w:sz="0" w:space="0" w:color="auto"/>
        <w:left w:val="none" w:sz="0" w:space="0" w:color="auto"/>
        <w:bottom w:val="none" w:sz="0" w:space="0" w:color="auto"/>
        <w:right w:val="none" w:sz="0" w:space="0" w:color="auto"/>
      </w:divBdr>
    </w:div>
    <w:div w:id="351957708">
      <w:bodyDiv w:val="1"/>
      <w:marLeft w:val="0"/>
      <w:marRight w:val="0"/>
      <w:marTop w:val="0"/>
      <w:marBottom w:val="0"/>
      <w:divBdr>
        <w:top w:val="none" w:sz="0" w:space="0" w:color="auto"/>
        <w:left w:val="none" w:sz="0" w:space="0" w:color="auto"/>
        <w:bottom w:val="none" w:sz="0" w:space="0" w:color="auto"/>
        <w:right w:val="none" w:sz="0" w:space="0" w:color="auto"/>
      </w:divBdr>
    </w:div>
    <w:div w:id="441804283">
      <w:bodyDiv w:val="1"/>
      <w:marLeft w:val="0"/>
      <w:marRight w:val="0"/>
      <w:marTop w:val="0"/>
      <w:marBottom w:val="0"/>
      <w:divBdr>
        <w:top w:val="none" w:sz="0" w:space="0" w:color="auto"/>
        <w:left w:val="none" w:sz="0" w:space="0" w:color="auto"/>
        <w:bottom w:val="none" w:sz="0" w:space="0" w:color="auto"/>
        <w:right w:val="none" w:sz="0" w:space="0" w:color="auto"/>
      </w:divBdr>
      <w:divsChild>
        <w:div w:id="1711101708">
          <w:marLeft w:val="0"/>
          <w:marRight w:val="0"/>
          <w:marTop w:val="0"/>
          <w:marBottom w:val="0"/>
          <w:divBdr>
            <w:top w:val="none" w:sz="0" w:space="0" w:color="auto"/>
            <w:left w:val="none" w:sz="0" w:space="0" w:color="auto"/>
            <w:bottom w:val="none" w:sz="0" w:space="0" w:color="auto"/>
            <w:right w:val="none" w:sz="0" w:space="0" w:color="auto"/>
          </w:divBdr>
          <w:divsChild>
            <w:div w:id="999963952">
              <w:marLeft w:val="0"/>
              <w:marRight w:val="0"/>
              <w:marTop w:val="0"/>
              <w:marBottom w:val="0"/>
              <w:divBdr>
                <w:top w:val="none" w:sz="0" w:space="0" w:color="auto"/>
                <w:left w:val="none" w:sz="0" w:space="0" w:color="auto"/>
                <w:bottom w:val="none" w:sz="0" w:space="0" w:color="auto"/>
                <w:right w:val="none" w:sz="0" w:space="0" w:color="auto"/>
              </w:divBdr>
              <w:divsChild>
                <w:div w:id="114019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047123">
      <w:bodyDiv w:val="1"/>
      <w:marLeft w:val="0"/>
      <w:marRight w:val="0"/>
      <w:marTop w:val="0"/>
      <w:marBottom w:val="0"/>
      <w:divBdr>
        <w:top w:val="none" w:sz="0" w:space="0" w:color="auto"/>
        <w:left w:val="none" w:sz="0" w:space="0" w:color="auto"/>
        <w:bottom w:val="none" w:sz="0" w:space="0" w:color="auto"/>
        <w:right w:val="none" w:sz="0" w:space="0" w:color="auto"/>
      </w:divBdr>
    </w:div>
    <w:div w:id="486827509">
      <w:bodyDiv w:val="1"/>
      <w:marLeft w:val="0"/>
      <w:marRight w:val="0"/>
      <w:marTop w:val="0"/>
      <w:marBottom w:val="0"/>
      <w:divBdr>
        <w:top w:val="none" w:sz="0" w:space="0" w:color="auto"/>
        <w:left w:val="none" w:sz="0" w:space="0" w:color="auto"/>
        <w:bottom w:val="none" w:sz="0" w:space="0" w:color="auto"/>
        <w:right w:val="none" w:sz="0" w:space="0" w:color="auto"/>
      </w:divBdr>
    </w:div>
    <w:div w:id="496776033">
      <w:bodyDiv w:val="1"/>
      <w:marLeft w:val="0"/>
      <w:marRight w:val="0"/>
      <w:marTop w:val="0"/>
      <w:marBottom w:val="0"/>
      <w:divBdr>
        <w:top w:val="none" w:sz="0" w:space="0" w:color="auto"/>
        <w:left w:val="none" w:sz="0" w:space="0" w:color="auto"/>
        <w:bottom w:val="none" w:sz="0" w:space="0" w:color="auto"/>
        <w:right w:val="none" w:sz="0" w:space="0" w:color="auto"/>
      </w:divBdr>
      <w:divsChild>
        <w:div w:id="1483036225">
          <w:marLeft w:val="0"/>
          <w:marRight w:val="0"/>
          <w:marTop w:val="0"/>
          <w:marBottom w:val="0"/>
          <w:divBdr>
            <w:top w:val="none" w:sz="0" w:space="0" w:color="auto"/>
            <w:left w:val="none" w:sz="0" w:space="0" w:color="auto"/>
            <w:bottom w:val="none" w:sz="0" w:space="0" w:color="auto"/>
            <w:right w:val="none" w:sz="0" w:space="0" w:color="auto"/>
          </w:divBdr>
        </w:div>
      </w:divsChild>
    </w:div>
    <w:div w:id="578709806">
      <w:bodyDiv w:val="1"/>
      <w:marLeft w:val="0"/>
      <w:marRight w:val="0"/>
      <w:marTop w:val="0"/>
      <w:marBottom w:val="0"/>
      <w:divBdr>
        <w:top w:val="none" w:sz="0" w:space="0" w:color="auto"/>
        <w:left w:val="none" w:sz="0" w:space="0" w:color="auto"/>
        <w:bottom w:val="none" w:sz="0" w:space="0" w:color="auto"/>
        <w:right w:val="none" w:sz="0" w:space="0" w:color="auto"/>
      </w:divBdr>
    </w:div>
    <w:div w:id="719062344">
      <w:bodyDiv w:val="1"/>
      <w:marLeft w:val="0"/>
      <w:marRight w:val="0"/>
      <w:marTop w:val="0"/>
      <w:marBottom w:val="0"/>
      <w:divBdr>
        <w:top w:val="none" w:sz="0" w:space="0" w:color="auto"/>
        <w:left w:val="none" w:sz="0" w:space="0" w:color="auto"/>
        <w:bottom w:val="none" w:sz="0" w:space="0" w:color="auto"/>
        <w:right w:val="none" w:sz="0" w:space="0" w:color="auto"/>
      </w:divBdr>
    </w:div>
    <w:div w:id="886726419">
      <w:marLeft w:val="0"/>
      <w:marRight w:val="0"/>
      <w:marTop w:val="0"/>
      <w:marBottom w:val="0"/>
      <w:divBdr>
        <w:top w:val="none" w:sz="0" w:space="0" w:color="auto"/>
        <w:left w:val="none" w:sz="0" w:space="0" w:color="auto"/>
        <w:bottom w:val="none" w:sz="0" w:space="0" w:color="auto"/>
        <w:right w:val="none" w:sz="0" w:space="0" w:color="auto"/>
      </w:divBdr>
      <w:divsChild>
        <w:div w:id="1756390291">
          <w:marLeft w:val="0"/>
          <w:marRight w:val="0"/>
          <w:marTop w:val="0"/>
          <w:marBottom w:val="0"/>
          <w:divBdr>
            <w:top w:val="none" w:sz="0" w:space="0" w:color="auto"/>
            <w:left w:val="none" w:sz="0" w:space="0" w:color="auto"/>
            <w:bottom w:val="none" w:sz="0" w:space="0" w:color="auto"/>
            <w:right w:val="none" w:sz="0" w:space="0" w:color="auto"/>
          </w:divBdr>
          <w:divsChild>
            <w:div w:id="83887921">
              <w:marLeft w:val="0"/>
              <w:marRight w:val="0"/>
              <w:marTop w:val="0"/>
              <w:marBottom w:val="0"/>
              <w:divBdr>
                <w:top w:val="none" w:sz="0" w:space="0" w:color="auto"/>
                <w:left w:val="none" w:sz="0" w:space="0" w:color="auto"/>
                <w:bottom w:val="none" w:sz="0" w:space="0" w:color="auto"/>
                <w:right w:val="none" w:sz="0" w:space="0" w:color="auto"/>
              </w:divBdr>
              <w:divsChild>
                <w:div w:id="8511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749323">
      <w:bodyDiv w:val="1"/>
      <w:marLeft w:val="0"/>
      <w:marRight w:val="0"/>
      <w:marTop w:val="0"/>
      <w:marBottom w:val="0"/>
      <w:divBdr>
        <w:top w:val="none" w:sz="0" w:space="0" w:color="auto"/>
        <w:left w:val="none" w:sz="0" w:space="0" w:color="auto"/>
        <w:bottom w:val="none" w:sz="0" w:space="0" w:color="auto"/>
        <w:right w:val="none" w:sz="0" w:space="0" w:color="auto"/>
      </w:divBdr>
    </w:div>
    <w:div w:id="986787068">
      <w:bodyDiv w:val="1"/>
      <w:marLeft w:val="0"/>
      <w:marRight w:val="0"/>
      <w:marTop w:val="0"/>
      <w:marBottom w:val="0"/>
      <w:divBdr>
        <w:top w:val="none" w:sz="0" w:space="0" w:color="auto"/>
        <w:left w:val="none" w:sz="0" w:space="0" w:color="auto"/>
        <w:bottom w:val="none" w:sz="0" w:space="0" w:color="auto"/>
        <w:right w:val="none" w:sz="0" w:space="0" w:color="auto"/>
      </w:divBdr>
      <w:divsChild>
        <w:div w:id="644092517">
          <w:marLeft w:val="0"/>
          <w:marRight w:val="0"/>
          <w:marTop w:val="0"/>
          <w:marBottom w:val="0"/>
          <w:divBdr>
            <w:top w:val="none" w:sz="0" w:space="0" w:color="auto"/>
            <w:left w:val="none" w:sz="0" w:space="0" w:color="auto"/>
            <w:bottom w:val="none" w:sz="0" w:space="0" w:color="auto"/>
            <w:right w:val="none" w:sz="0" w:space="0" w:color="auto"/>
          </w:divBdr>
          <w:divsChild>
            <w:div w:id="2119257925">
              <w:marLeft w:val="0"/>
              <w:marRight w:val="0"/>
              <w:marTop w:val="0"/>
              <w:marBottom w:val="0"/>
              <w:divBdr>
                <w:top w:val="none" w:sz="0" w:space="0" w:color="auto"/>
                <w:left w:val="none" w:sz="0" w:space="0" w:color="auto"/>
                <w:bottom w:val="none" w:sz="0" w:space="0" w:color="auto"/>
                <w:right w:val="none" w:sz="0" w:space="0" w:color="auto"/>
              </w:divBdr>
              <w:divsChild>
                <w:div w:id="4078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07948">
      <w:bodyDiv w:val="1"/>
      <w:marLeft w:val="0"/>
      <w:marRight w:val="0"/>
      <w:marTop w:val="0"/>
      <w:marBottom w:val="0"/>
      <w:divBdr>
        <w:top w:val="none" w:sz="0" w:space="0" w:color="auto"/>
        <w:left w:val="none" w:sz="0" w:space="0" w:color="auto"/>
        <w:bottom w:val="none" w:sz="0" w:space="0" w:color="auto"/>
        <w:right w:val="none" w:sz="0" w:space="0" w:color="auto"/>
      </w:divBdr>
    </w:div>
    <w:div w:id="1277178900">
      <w:bodyDiv w:val="1"/>
      <w:marLeft w:val="0"/>
      <w:marRight w:val="0"/>
      <w:marTop w:val="0"/>
      <w:marBottom w:val="0"/>
      <w:divBdr>
        <w:top w:val="none" w:sz="0" w:space="0" w:color="auto"/>
        <w:left w:val="none" w:sz="0" w:space="0" w:color="auto"/>
        <w:bottom w:val="none" w:sz="0" w:space="0" w:color="auto"/>
        <w:right w:val="none" w:sz="0" w:space="0" w:color="auto"/>
      </w:divBdr>
    </w:div>
    <w:div w:id="1413041583">
      <w:bodyDiv w:val="1"/>
      <w:marLeft w:val="0"/>
      <w:marRight w:val="0"/>
      <w:marTop w:val="0"/>
      <w:marBottom w:val="0"/>
      <w:divBdr>
        <w:top w:val="none" w:sz="0" w:space="0" w:color="auto"/>
        <w:left w:val="none" w:sz="0" w:space="0" w:color="auto"/>
        <w:bottom w:val="none" w:sz="0" w:space="0" w:color="auto"/>
        <w:right w:val="none" w:sz="0" w:space="0" w:color="auto"/>
      </w:divBdr>
    </w:div>
    <w:div w:id="1626810876">
      <w:bodyDiv w:val="1"/>
      <w:marLeft w:val="0"/>
      <w:marRight w:val="0"/>
      <w:marTop w:val="0"/>
      <w:marBottom w:val="0"/>
      <w:divBdr>
        <w:top w:val="none" w:sz="0" w:space="0" w:color="auto"/>
        <w:left w:val="none" w:sz="0" w:space="0" w:color="auto"/>
        <w:bottom w:val="none" w:sz="0" w:space="0" w:color="auto"/>
        <w:right w:val="none" w:sz="0" w:space="0" w:color="auto"/>
      </w:divBdr>
    </w:div>
    <w:div w:id="1697270549">
      <w:bodyDiv w:val="1"/>
      <w:marLeft w:val="0"/>
      <w:marRight w:val="0"/>
      <w:marTop w:val="0"/>
      <w:marBottom w:val="0"/>
      <w:divBdr>
        <w:top w:val="none" w:sz="0" w:space="0" w:color="auto"/>
        <w:left w:val="none" w:sz="0" w:space="0" w:color="auto"/>
        <w:bottom w:val="none" w:sz="0" w:space="0" w:color="auto"/>
        <w:right w:val="none" w:sz="0" w:space="0" w:color="auto"/>
      </w:divBdr>
      <w:divsChild>
        <w:div w:id="1728381608">
          <w:marLeft w:val="0"/>
          <w:marRight w:val="0"/>
          <w:marTop w:val="0"/>
          <w:marBottom w:val="0"/>
          <w:divBdr>
            <w:top w:val="none" w:sz="0" w:space="0" w:color="auto"/>
            <w:left w:val="none" w:sz="0" w:space="0" w:color="auto"/>
            <w:bottom w:val="none" w:sz="0" w:space="0" w:color="auto"/>
            <w:right w:val="none" w:sz="0" w:space="0" w:color="auto"/>
          </w:divBdr>
          <w:divsChild>
            <w:div w:id="1628853673">
              <w:marLeft w:val="0"/>
              <w:marRight w:val="0"/>
              <w:marTop w:val="0"/>
              <w:marBottom w:val="0"/>
              <w:divBdr>
                <w:top w:val="none" w:sz="0" w:space="0" w:color="auto"/>
                <w:left w:val="none" w:sz="0" w:space="0" w:color="auto"/>
                <w:bottom w:val="none" w:sz="0" w:space="0" w:color="auto"/>
                <w:right w:val="none" w:sz="0" w:space="0" w:color="auto"/>
              </w:divBdr>
              <w:divsChild>
                <w:div w:id="1202284117">
                  <w:marLeft w:val="0"/>
                  <w:marRight w:val="0"/>
                  <w:marTop w:val="0"/>
                  <w:marBottom w:val="0"/>
                  <w:divBdr>
                    <w:top w:val="none" w:sz="0" w:space="0" w:color="auto"/>
                    <w:left w:val="none" w:sz="0" w:space="0" w:color="auto"/>
                    <w:bottom w:val="none" w:sz="0" w:space="0" w:color="auto"/>
                    <w:right w:val="none" w:sz="0" w:space="0" w:color="auto"/>
                  </w:divBdr>
                  <w:divsChild>
                    <w:div w:id="70386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950476">
      <w:bodyDiv w:val="1"/>
      <w:marLeft w:val="0"/>
      <w:marRight w:val="0"/>
      <w:marTop w:val="0"/>
      <w:marBottom w:val="0"/>
      <w:divBdr>
        <w:top w:val="none" w:sz="0" w:space="0" w:color="auto"/>
        <w:left w:val="none" w:sz="0" w:space="0" w:color="auto"/>
        <w:bottom w:val="none" w:sz="0" w:space="0" w:color="auto"/>
        <w:right w:val="none" w:sz="0" w:space="0" w:color="auto"/>
      </w:divBdr>
    </w:div>
    <w:div w:id="1951816659">
      <w:bodyDiv w:val="1"/>
      <w:marLeft w:val="0"/>
      <w:marRight w:val="0"/>
      <w:marTop w:val="0"/>
      <w:marBottom w:val="0"/>
      <w:divBdr>
        <w:top w:val="none" w:sz="0" w:space="0" w:color="auto"/>
        <w:left w:val="none" w:sz="0" w:space="0" w:color="auto"/>
        <w:bottom w:val="none" w:sz="0" w:space="0" w:color="auto"/>
        <w:right w:val="none" w:sz="0" w:space="0" w:color="auto"/>
      </w:divBdr>
      <w:divsChild>
        <w:div w:id="149179093">
          <w:marLeft w:val="0"/>
          <w:marRight w:val="0"/>
          <w:marTop w:val="0"/>
          <w:marBottom w:val="0"/>
          <w:divBdr>
            <w:top w:val="none" w:sz="0" w:space="0" w:color="auto"/>
            <w:left w:val="none" w:sz="0" w:space="0" w:color="auto"/>
            <w:bottom w:val="none" w:sz="0" w:space="0" w:color="auto"/>
            <w:right w:val="none" w:sz="0" w:space="0" w:color="auto"/>
          </w:divBdr>
          <w:divsChild>
            <w:div w:id="863329517">
              <w:marLeft w:val="0"/>
              <w:marRight w:val="0"/>
              <w:marTop w:val="0"/>
              <w:marBottom w:val="0"/>
              <w:divBdr>
                <w:top w:val="none" w:sz="0" w:space="0" w:color="auto"/>
                <w:left w:val="none" w:sz="0" w:space="0" w:color="auto"/>
                <w:bottom w:val="none" w:sz="0" w:space="0" w:color="auto"/>
                <w:right w:val="none" w:sz="0" w:space="0" w:color="auto"/>
              </w:divBdr>
              <w:divsChild>
                <w:div w:id="11845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ena.bizim@student.uaic.ro" TargetMode="External"/><Relationship Id="rId13" Type="http://schemas.openxmlformats.org/officeDocument/2006/relationships/hyperlink" Target="https://doi.org/10.1016/B978-0-7506-8054-7.X5022-9"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nisa.europa.eu/sites/default/files/publications/ENISA_Desktop_Research_report.pdf"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ecd.org/content/dam/oecd/en/publications/reports/2015/09/concessions-and-ppps_g17a25f6/5js4vmnl876d-en.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pringerprofessional.de/en/hybrid-annuity-model-ham-of-hybrid-public-private-partnership-pr/25197140"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researchgate.net/profile/Remo-Dalla-Longa/publication/302535406_Urban_Models/links/5fea1a97299bf14088562a37/Urban-Models.pdf" TargetMode="External"/><Relationship Id="rId14" Type="http://schemas.openxmlformats.org/officeDocument/2006/relationships/hyperlink" Target="https://www.sciencedirect.com/book/monograph/9780750680547/public-private-partne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2C81E63C4B58C49BE2CE695A3DBDA84" ma:contentTypeVersion="1" ma:contentTypeDescription="Create a new document." ma:contentTypeScope="" ma:versionID="6284766b95e6f3a94cbf3bfeddea20db">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DE871E1-5F7A-444D-A140-5EAE336CC922}">
  <ds:schemaRefs>
    <ds:schemaRef ds:uri="http://schemas.openxmlformats.org/officeDocument/2006/bibliography"/>
  </ds:schemaRefs>
</ds:datastoreItem>
</file>

<file path=customXml/itemProps2.xml><?xml version="1.0" encoding="utf-8"?>
<ds:datastoreItem xmlns:ds="http://schemas.openxmlformats.org/officeDocument/2006/customXml" ds:itemID="{A5D2FC8B-024D-4F72-94CE-6D91D70BCB99}"/>
</file>

<file path=customXml/itemProps3.xml><?xml version="1.0" encoding="utf-8"?>
<ds:datastoreItem xmlns:ds="http://schemas.openxmlformats.org/officeDocument/2006/customXml" ds:itemID="{427A0C84-4BEB-4EF1-8642-7AF4B9C7A609}"/>
</file>

<file path=customXml/itemProps4.xml><?xml version="1.0" encoding="utf-8"?>
<ds:datastoreItem xmlns:ds="http://schemas.openxmlformats.org/officeDocument/2006/customXml" ds:itemID="{26E1535F-740D-46FE-9B01-F54B22ED6AF9}"/>
</file>

<file path=docProps/app.xml><?xml version="1.0" encoding="utf-8"?>
<Properties xmlns="http://schemas.openxmlformats.org/officeDocument/2006/extended-properties" xmlns:vt="http://schemas.openxmlformats.org/officeDocument/2006/docPropsVTypes">
  <Template>Normal.dotm</Template>
  <TotalTime>1</TotalTime>
  <Pages>8</Pages>
  <Words>2378</Words>
  <Characters>13559</Characters>
  <Application>Microsoft Office Word</Application>
  <DocSecurity>0</DocSecurity>
  <PresentationFormat/>
  <Lines>112</Lines>
  <Paragraphs>31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Surdu Surdu</cp:lastModifiedBy>
  <cp:revision>2</cp:revision>
  <dcterms:created xsi:type="dcterms:W3CDTF">2026-01-22T21:14:00Z</dcterms:created>
  <dcterms:modified xsi:type="dcterms:W3CDTF">2026-01-22T21:14:00Z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2C397F1DFF2B45EEB4BE3554FC1C63CA_13</vt:lpwstr>
  </property>
  <property fmtid="{D5CDD505-2E9C-101B-9397-08002B2CF9AE}" pid="4" name="ContentTypeId">
    <vt:lpwstr>0x010100A2C81E63C4B58C49BE2CE695A3DBDA84</vt:lpwstr>
  </property>
</Properties>
</file>